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E971" w14:textId="25A02C71" w:rsidR="00AC5231" w:rsidRDefault="00244DB8">
      <w:pPr>
        <w:rPr>
          <w:lang w:val="en-US"/>
        </w:rPr>
      </w:pPr>
      <w:r w:rsidRPr="00244DB8">
        <w:rPr>
          <w:lang w:val="en-US"/>
        </w:rPr>
        <w:t>2024 Centralized vs. Decentralized Electric Grid Resilience Analysis Using Leontief's Input–Output Model-MDPI</w:t>
      </w:r>
    </w:p>
    <w:p w14:paraId="2C136C29" w14:textId="77777777" w:rsidR="00244DB8" w:rsidRDefault="00244DB8">
      <w:pPr>
        <w:rPr>
          <w:lang w:val="en-US"/>
        </w:rPr>
      </w:pPr>
    </w:p>
    <w:p w14:paraId="348DCCEC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Centralized vs. Decentralized Electric Grid Resilience Analysis Using Leontief’s Input–Output Model</w:t>
      </w:r>
      <w:r w:rsidRPr="00C94D8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Aoun, A.; Adda, M.; Ilinca, A.; Ghandour, M.; Ibrahim, H.</w:t>
      </w:r>
      <w:r w:rsidRPr="00C94D8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94D8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Energies</w:t>
      </w:r>
      <w:r w:rsidRPr="00C94D8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17, </w:t>
      </w:r>
      <w:proofErr w:type="gramStart"/>
      <w:r w:rsidRPr="00C94D8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n.º</w:t>
      </w:r>
      <w:proofErr w:type="gramEnd"/>
      <w:r w:rsidRPr="00C94D8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6, 1321, 2024.</w:t>
      </w:r>
      <w:r w:rsidRPr="00C94D8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DOI: 10.3390/en17061321 </w:t>
      </w:r>
    </w:p>
    <w:p w14:paraId="3EFB3BE5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Centralized vs. Decentrali…</w:t>
      </w:r>
    </w:p>
    <w:p w14:paraId="4735A8F1" w14:textId="77777777" w:rsidR="00C94D81" w:rsidRPr="00C94D81" w:rsidRDefault="00C94D81" w:rsidP="00C94D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091106">
          <v:rect id="_x0000_i1025" style="width:0;height:1.5pt" o:hralign="center" o:hrstd="t" o:hr="t" fillcolor="#a0a0a0" stroked="f"/>
        </w:pict>
      </w:r>
    </w:p>
    <w:p w14:paraId="709EFCD7" w14:textId="77777777" w:rsidR="00C94D81" w:rsidRPr="00C94D81" w:rsidRDefault="00C94D81" w:rsidP="00C94D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E56B566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tem como objetivo principal comparar a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redes elétricas centralizadas e descentralizadas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avaliando o impacto da inserção de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Distributed Energy Resources (DERs)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meio de um modelo matemático simples baseado no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Leontief Input–Output Model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originalmente criado para análise de interdependências econômicas.</w:t>
      </w:r>
    </w:p>
    <w:p w14:paraId="7F79D61A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como a capacidade da rede de:</w:t>
      </w:r>
    </w:p>
    <w:p w14:paraId="0017B1AA" w14:textId="77777777" w:rsidR="00C94D81" w:rsidRPr="00C94D81" w:rsidRDefault="00C94D81" w:rsidP="00C94D8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absorver perturbações,</w:t>
      </w:r>
    </w:p>
    <w:p w14:paraId="280770F2" w14:textId="77777777" w:rsidR="00C94D81" w:rsidRPr="00C94D81" w:rsidRDefault="00C94D81" w:rsidP="00C94D8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limitar a propagação de falhas,</w:t>
      </w:r>
    </w:p>
    <w:p w14:paraId="4084B182" w14:textId="77777777" w:rsidR="00C94D81" w:rsidRPr="00C94D81" w:rsidRDefault="00C94D81" w:rsidP="00C94D8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manter a operabilidade dos nós,</w:t>
      </w:r>
    </w:p>
    <w:p w14:paraId="3D9A952E" w14:textId="77777777" w:rsidR="00C94D81" w:rsidRPr="00C94D81" w:rsidRDefault="00C94D81" w:rsidP="00C94D8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recuperar o fornecimento de energia.</w:t>
      </w:r>
    </w:p>
    <w:p w14:paraId="6E59CE17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indicador central utilizado é a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inoperabilidade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definida como a razão entre a redução de potência em um nó e sua potência em condição normal. Um valor 0 indica ausência de impacto, e 1 indica perda total de fornecimento no nó. </w:t>
      </w:r>
    </w:p>
    <w:p w14:paraId="06443408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Centralized vs. Decentrali…</w:t>
      </w:r>
    </w:p>
    <w:p w14:paraId="018CCB23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real:</w:t>
      </w:r>
    </w:p>
    <w:p w14:paraId="1159A1FC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sistêmica operacional da rede elétrica em função do grau de descentralização topológica e da presença de DERs, avaliada por um modelo matemático de propagação de falhas entre nós.</w:t>
      </w:r>
    </w:p>
    <w:p w14:paraId="36A7F0BA" w14:textId="77777777" w:rsidR="00C94D81" w:rsidRPr="00C94D81" w:rsidRDefault="00C94D81" w:rsidP="00C94D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DEC9F4">
          <v:rect id="_x0000_i1026" style="width:0;height:1.5pt" o:hralign="center" o:hrstd="t" o:hr="t" fillcolor="#a0a0a0" stroked="f"/>
        </w:pict>
      </w:r>
    </w:p>
    <w:p w14:paraId="63CAED0B" w14:textId="77777777" w:rsidR="00C94D81" w:rsidRPr="00C94D81" w:rsidRDefault="00C94D81" w:rsidP="00C94D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7AF49C81" w14:textId="77777777" w:rsidR="00C94D81" w:rsidRPr="00C94D81" w:rsidRDefault="00C94D81" w:rsidP="00C94D8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do modelo de Leontief adaptado à rede elétrica</w:t>
      </w:r>
    </w:p>
    <w:p w14:paraId="1524F514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reinterpretam a matriz de interdependência do modelo de Leontief como:</w:t>
      </w:r>
    </w:p>
    <w:p w14:paraId="45DACF9D" w14:textId="77777777" w:rsidR="00C94D81" w:rsidRPr="00C94D81" w:rsidRDefault="00C94D81" w:rsidP="00C94D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65BA195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452D262" w14:textId="77777777" w:rsidR="00C94D81" w:rsidRPr="00C94D81" w:rsidRDefault="00C94D81" w:rsidP="00C94D8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</m:oMath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potência transmitida do nó </w:t>
      </w:r>
      <w:r w:rsidRPr="00C94D8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nó </w:t>
      </w:r>
      <w:r w:rsidRPr="00C94D8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j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85DB9D0" w14:textId="77777777" w:rsidR="00C94D81" w:rsidRPr="00C94D81" w:rsidRDefault="00C94D81" w:rsidP="00C94D8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j</m:t>
            </m:r>
          </m:sub>
        </m:sSub>
      </m:oMath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potência total do nó </w:t>
      </w:r>
      <w:r w:rsidRPr="00C94D8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j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EAE53F3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equação fundamental do modelo é:</w:t>
      </w:r>
    </w:p>
    <w:p w14:paraId="30D786FE" w14:textId="77777777" w:rsidR="00C94D81" w:rsidRPr="00C94D81" w:rsidRDefault="00C94D81" w:rsidP="00C94D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X=AX+D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ou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(I-A)X=D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7627F89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78C38C9F" w14:textId="77777777" w:rsidR="00C94D81" w:rsidRPr="00C94D81" w:rsidRDefault="00C94D81" w:rsidP="00C94D8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A</m:t>
        </m:r>
      </m:oMath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matriz de interdependência,</w:t>
      </w:r>
    </w:p>
    <w:p w14:paraId="00F6B883" w14:textId="77777777" w:rsidR="00C94D81" w:rsidRPr="00C94D81" w:rsidRDefault="00C94D81" w:rsidP="00C94D8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D</m:t>
        </m:r>
      </m:oMath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vetor de demanda (potência das cargas),</w:t>
      </w:r>
    </w:p>
    <w:p w14:paraId="141119BD" w14:textId="77777777" w:rsidR="00C94D81" w:rsidRPr="00C94D81" w:rsidRDefault="00C94D81" w:rsidP="00C94D8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X</m:t>
        </m:r>
      </m:oMath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 os fluxos internos do sistema. </w:t>
      </w:r>
    </w:p>
    <w:p w14:paraId="6F151836" w14:textId="77777777" w:rsidR="00C94D81" w:rsidRPr="00C94D81" w:rsidRDefault="00C94D81" w:rsidP="00C94D8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Centralized vs. Decentrali…</w:t>
      </w:r>
    </w:p>
    <w:p w14:paraId="174ECFEF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 modelo gera a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inoperabilidade de cada barramento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passa a ser usada como KPI de resiliência.</w:t>
      </w:r>
    </w:p>
    <w:p w14:paraId="458BCCE1" w14:textId="77777777" w:rsidR="00C94D81" w:rsidRPr="00C94D81" w:rsidRDefault="00C94D81" w:rsidP="00C94D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F66703">
          <v:rect id="_x0000_i1027" style="width:0;height:1.5pt" o:hralign="center" o:hrstd="t" o:hr="t" fillcolor="#a0a0a0" stroked="f"/>
        </w:pict>
      </w:r>
    </w:p>
    <w:p w14:paraId="1F3FB167" w14:textId="77777777" w:rsidR="00C94D81" w:rsidRPr="00C94D81" w:rsidRDefault="00C94D81" w:rsidP="00C94D8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com fluxo de carga Newton–Raphson</w:t>
      </w:r>
    </w:p>
    <w:p w14:paraId="698571D7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obter os valores reais de potência entre os nós, os autores utilizam:</w:t>
      </w:r>
    </w:p>
    <w:p w14:paraId="3F6D3280" w14:textId="77777777" w:rsidR="00C94D81" w:rsidRPr="00C94D81" w:rsidRDefault="00C94D81" w:rsidP="00C94D8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matriz de admitância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bus</m:t>
            </m:r>
          </m:sub>
        </m:sSub>
      </m:oMath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B3739D5" w14:textId="77777777" w:rsidR="00C94D81" w:rsidRPr="00C94D81" w:rsidRDefault="00C94D81" w:rsidP="00C94D8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 de Newton–Raphson,</w:t>
      </w:r>
    </w:p>
    <w:p w14:paraId="70B27858" w14:textId="77777777" w:rsidR="00C94D81" w:rsidRPr="00C94D81" w:rsidRDefault="00C94D81" w:rsidP="00C94D8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clássico de potência ativa e reativa:</w:t>
      </w:r>
    </w:p>
    <w:p w14:paraId="09BFAB41" w14:textId="77777777" w:rsidR="00C94D81" w:rsidRPr="00C94D81" w:rsidRDefault="00C94D81" w:rsidP="00C94D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∣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∣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91983A7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etapa garante consistência elétrica ao modelo matemático de inoperabilidade. </w:t>
      </w:r>
    </w:p>
    <w:p w14:paraId="02DC6980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Centralized vs. Decentrali…</w:t>
      </w:r>
    </w:p>
    <w:p w14:paraId="5CC80015" w14:textId="77777777" w:rsidR="00C94D81" w:rsidRPr="00C94D81" w:rsidRDefault="00C94D81" w:rsidP="00C94D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DAC1F8">
          <v:rect id="_x0000_i1028" style="width:0;height:1.5pt" o:hralign="center" o:hrstd="t" o:hr="t" fillcolor="#a0a0a0" stroked="f"/>
        </w:pict>
      </w:r>
    </w:p>
    <w:p w14:paraId="7FB80264" w14:textId="77777777" w:rsidR="00C94D81" w:rsidRPr="00C94D81" w:rsidRDefault="00C94D81" w:rsidP="00C94D8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2.3 Cenários simulados</w:t>
      </w:r>
    </w:p>
    <w:p w14:paraId="5140A239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Foi utilizado o sistema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IEEE-14 barras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três configurações: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4661"/>
      </w:tblGrid>
      <w:tr w:rsidR="00C94D81" w:rsidRPr="00C94D81" w14:paraId="4F5A2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C5420" w14:textId="77777777" w:rsidR="00C94D81" w:rsidRPr="00C94D81" w:rsidRDefault="00C94D81" w:rsidP="00C94D8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03542D4A" w14:textId="77777777" w:rsidR="00C94D81" w:rsidRPr="00C94D81" w:rsidRDefault="00C94D81" w:rsidP="00C94D8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Configuração</w:t>
            </w:r>
          </w:p>
        </w:tc>
      </w:tr>
      <w:tr w:rsidR="00C94D81" w:rsidRPr="00C94D81" w14:paraId="1C966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0EBC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0801446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Centralizado (sem DERs)</w:t>
            </w:r>
          </w:p>
        </w:tc>
      </w:tr>
      <w:tr w:rsidR="00C94D81" w:rsidRPr="00C94D81" w14:paraId="4A250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0CD5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9353AFE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100% descentralizado (DER em todos os nós)</w:t>
            </w:r>
          </w:p>
        </w:tc>
      </w:tr>
      <w:tr w:rsidR="00C94D81" w:rsidRPr="00C94D81" w14:paraId="20335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8443C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DE6772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50% descentralizado (DER em metade dos nós)</w:t>
            </w:r>
          </w:p>
        </w:tc>
      </w:tr>
    </w:tbl>
    <w:p w14:paraId="6D6ABDA9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Dois cenários de falha foram analisados:</w:t>
      </w:r>
    </w:p>
    <w:p w14:paraId="32FAFBD9" w14:textId="77777777" w:rsidR="00C94D81" w:rsidRPr="00C94D81" w:rsidRDefault="00C94D81" w:rsidP="00C94D8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Desconexão de um gerador e abertura de uma linha.</w:t>
      </w:r>
    </w:p>
    <w:p w14:paraId="619C8C9F" w14:textId="77777777" w:rsidR="00C94D81" w:rsidRPr="00C94D81" w:rsidRDefault="00C94D81" w:rsidP="00C94D8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Extensão do cenário 1 com abertura adicional de uma subestação/linha.</w:t>
      </w:r>
    </w:p>
    <w:p w14:paraId="4DCB92F7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simulações foram feitas em MATLAB e validadas no ETAP, com resultados praticamente idênticos. </w:t>
      </w:r>
    </w:p>
    <w:p w14:paraId="15D1FA74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Centralized vs. Decentrali…</w:t>
      </w:r>
    </w:p>
    <w:p w14:paraId="3381FD1F" w14:textId="77777777" w:rsidR="00C94D81" w:rsidRPr="00C94D81" w:rsidRDefault="00C94D81" w:rsidP="00C94D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5025CD">
          <v:rect id="_x0000_i1029" style="width:0;height:1.5pt" o:hralign="center" o:hrstd="t" o:hr="t" fillcolor="#a0a0a0" stroked="f"/>
        </w:pict>
      </w:r>
    </w:p>
    <w:p w14:paraId="1CD864F5" w14:textId="77777777" w:rsidR="00C94D81" w:rsidRPr="00C94D81" w:rsidRDefault="00C94D81" w:rsidP="00C94D8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principais</w:t>
      </w:r>
    </w:p>
    <w:p w14:paraId="34A5C48D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gráficos de inoperabilidade (Figuras 8a, 8b e 8c, pág. 14) mostram:</w:t>
      </w:r>
    </w:p>
    <w:p w14:paraId="56721BE1" w14:textId="77777777" w:rsidR="00C94D81" w:rsidRPr="00C94D81" w:rsidRDefault="00C94D81" w:rsidP="00C94D8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A (centralizado):</w:t>
      </w:r>
    </w:p>
    <w:p w14:paraId="72A46B97" w14:textId="77777777" w:rsidR="00C94D81" w:rsidRPr="00C94D81" w:rsidRDefault="00C94D81" w:rsidP="00C94D8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Inoperabilidades até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11,4%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8C06C6E" w14:textId="77777777" w:rsidR="00C94D81" w:rsidRPr="00C94D81" w:rsidRDefault="00C94D81" w:rsidP="00C94D8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Propagação de falhas para quase todos os nós,</w:t>
      </w:r>
    </w:p>
    <w:p w14:paraId="790C7314" w14:textId="77777777" w:rsidR="00C94D81" w:rsidRPr="00C94D81" w:rsidRDefault="00C94D81" w:rsidP="00C94D8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efeito de “single point of failure”.</w:t>
      </w:r>
    </w:p>
    <w:p w14:paraId="6DA7AC2A" w14:textId="77777777" w:rsidR="00C94D81" w:rsidRPr="00C94D81" w:rsidRDefault="00C94D81" w:rsidP="00C94D8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B (100% descentralizado):</w:t>
      </w:r>
    </w:p>
    <w:p w14:paraId="5484C8A8" w14:textId="77777777" w:rsidR="00C94D81" w:rsidRPr="00C94D81" w:rsidRDefault="00C94D81" w:rsidP="00C94D8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Inoperabilidade máxima abaixo de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0,45%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512C98C" w14:textId="77777777" w:rsidR="00C94D81" w:rsidRPr="00C94D81" w:rsidRDefault="00C94D81" w:rsidP="00C94D8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praticamente confinados ao nó diretamente afetado.</w:t>
      </w:r>
    </w:p>
    <w:p w14:paraId="3CCAC4A5" w14:textId="77777777" w:rsidR="00C94D81" w:rsidRPr="00C94D81" w:rsidRDefault="00C94D81" w:rsidP="00C94D8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C (50% descentralizado):</w:t>
      </w:r>
    </w:p>
    <w:p w14:paraId="49E6BE0A" w14:textId="77777777" w:rsidR="00C94D81" w:rsidRPr="00C94D81" w:rsidRDefault="00C94D81" w:rsidP="00C94D8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intermediários,</w:t>
      </w:r>
    </w:p>
    <w:p w14:paraId="34156624" w14:textId="77777777" w:rsidR="00C94D81" w:rsidRPr="00C94D81" w:rsidRDefault="00C94D81" w:rsidP="00C94D8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nós sem DER continuam vulneráveis.</w:t>
      </w:r>
    </w:p>
    <w:p w14:paraId="33FC4B1F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 quantitativa dos autores:</w:t>
      </w:r>
    </w:p>
    <w:p w14:paraId="70DAA825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descentralização reduz drasticamente tanto a extensão quanto a magnitude da degradação do sistema. </w:t>
      </w:r>
    </w:p>
    <w:p w14:paraId="0F718303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Centralized vs. Decentrali…</w:t>
      </w:r>
    </w:p>
    <w:p w14:paraId="10BBCF67" w14:textId="77777777" w:rsidR="00C94D81" w:rsidRPr="00C94D81" w:rsidRDefault="00C94D81" w:rsidP="00C94D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C71A17">
          <v:rect id="_x0000_i1030" style="width:0;height:1.5pt" o:hralign="center" o:hrstd="t" o:hr="t" fillcolor="#a0a0a0" stroked="f"/>
        </w:pict>
      </w:r>
    </w:p>
    <w:p w14:paraId="10105692" w14:textId="77777777" w:rsidR="00C94D81" w:rsidRPr="00C94D81" w:rsidRDefault="00C94D81" w:rsidP="00C94D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5DD5E2B3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Apesar de ser tecnicamente sólido, o artigo tem limitações importantes para o seu tema específico: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0"/>
        <w:gridCol w:w="1198"/>
      </w:tblGrid>
      <w:tr w:rsidR="00C94D81" w:rsidRPr="00C94D81" w14:paraId="33012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6C7B0" w14:textId="77777777" w:rsidR="00C94D81" w:rsidRPr="00C94D81" w:rsidRDefault="00C94D81" w:rsidP="00C94D8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 da sua tese</w:t>
            </w:r>
          </w:p>
        </w:tc>
        <w:tc>
          <w:tcPr>
            <w:tcW w:w="0" w:type="auto"/>
            <w:vAlign w:val="center"/>
            <w:hideMark/>
          </w:tcPr>
          <w:p w14:paraId="0F07A2E7" w14:textId="77777777" w:rsidR="00C94D81" w:rsidRPr="00C94D81" w:rsidRDefault="00C94D81" w:rsidP="00C94D8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</w:t>
            </w:r>
          </w:p>
        </w:tc>
      </w:tr>
      <w:tr w:rsidR="00C94D81" w:rsidRPr="00C94D81" w14:paraId="7C224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E009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 de LT (vento, gelo, incêndio, temperatura)</w:t>
            </w:r>
          </w:p>
        </w:tc>
        <w:tc>
          <w:tcPr>
            <w:tcW w:w="0" w:type="auto"/>
            <w:vAlign w:val="center"/>
            <w:hideMark/>
          </w:tcPr>
          <w:p w14:paraId="612FA6E3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94D81" w:rsidRPr="00C94D81" w14:paraId="03BCA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ECFE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de torres/condutores</w:t>
            </w:r>
          </w:p>
        </w:tc>
        <w:tc>
          <w:tcPr>
            <w:tcW w:w="0" w:type="auto"/>
            <w:vAlign w:val="center"/>
            <w:hideMark/>
          </w:tcPr>
          <w:p w14:paraId="5DCFB0C0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94D81" w:rsidRPr="00C94D81" w14:paraId="7A080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1F1D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mecânica de infraestrutura</w:t>
            </w:r>
          </w:p>
        </w:tc>
        <w:tc>
          <w:tcPr>
            <w:tcW w:w="0" w:type="auto"/>
            <w:vAlign w:val="center"/>
            <w:hideMark/>
          </w:tcPr>
          <w:p w14:paraId="7F3D9EF5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94D81" w:rsidRPr="00C94D81" w14:paraId="6B4F9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E663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reparo físico</w:t>
            </w:r>
          </w:p>
        </w:tc>
        <w:tc>
          <w:tcPr>
            <w:tcW w:w="0" w:type="auto"/>
            <w:vAlign w:val="center"/>
            <w:hideMark/>
          </w:tcPr>
          <w:p w14:paraId="17351ABE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94D81" w:rsidRPr="00C94D81" w14:paraId="5162C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94C9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 recuperação estrutural</w:t>
            </w:r>
          </w:p>
        </w:tc>
        <w:tc>
          <w:tcPr>
            <w:tcW w:w="0" w:type="auto"/>
            <w:vAlign w:val="center"/>
            <w:hideMark/>
          </w:tcPr>
          <w:p w14:paraId="73C7C1CD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94D81" w:rsidRPr="00C94D81" w14:paraId="62598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8E64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específica de linhas de transmissão</w:t>
            </w:r>
          </w:p>
        </w:tc>
        <w:tc>
          <w:tcPr>
            <w:tcW w:w="0" w:type="auto"/>
            <w:vAlign w:val="center"/>
            <w:hideMark/>
          </w:tcPr>
          <w:p w14:paraId="77A07947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</w:t>
            </w:r>
          </w:p>
        </w:tc>
      </w:tr>
      <w:tr w:rsidR="00C94D81" w:rsidRPr="00C94D81" w14:paraId="6EEB8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9C94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sistêmica topológica</w:t>
            </w:r>
          </w:p>
        </w:tc>
        <w:tc>
          <w:tcPr>
            <w:tcW w:w="0" w:type="auto"/>
            <w:vAlign w:val="center"/>
            <w:hideMark/>
          </w:tcPr>
          <w:p w14:paraId="6D6FA3CB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5DBDB9B7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falhas são modeladas como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desconexões lógicas de nós e linhas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danos físicos causados por eventos climáticos.</w:t>
      </w:r>
    </w:p>
    <w:p w14:paraId="528A9ACA" w14:textId="77777777" w:rsidR="00C94D81" w:rsidRPr="00C94D81" w:rsidRDefault="00C94D81" w:rsidP="00C94D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40BE7F">
          <v:rect id="_x0000_i1031" style="width:0;height:1.5pt" o:hralign="center" o:hrstd="t" o:hr="t" fillcolor="#a0a0a0" stroked="f"/>
        </w:pict>
      </w:r>
    </w:p>
    <w:p w14:paraId="2A611425" w14:textId="77777777" w:rsidR="00C94D81" w:rsidRPr="00C94D81" w:rsidRDefault="00C94D81" w:rsidP="00C94D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tese</w:t>
      </w:r>
    </w:p>
    <w:p w14:paraId="694EA455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C94D8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2444"/>
      </w:tblGrid>
      <w:tr w:rsidR="00C94D81" w:rsidRPr="00C94D81" w14:paraId="65A21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3495E" w14:textId="77777777" w:rsidR="00C94D81" w:rsidRPr="00C94D81" w:rsidRDefault="00C94D81" w:rsidP="00C94D8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5E22519F" w14:textId="77777777" w:rsidR="00C94D81" w:rsidRPr="00C94D81" w:rsidRDefault="00C94D81" w:rsidP="00C94D8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94D81" w:rsidRPr="00C94D81" w14:paraId="751A8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F421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objeto físico</w:t>
            </w:r>
          </w:p>
        </w:tc>
        <w:tc>
          <w:tcPr>
            <w:tcW w:w="0" w:type="auto"/>
            <w:vAlign w:val="center"/>
            <w:hideMark/>
          </w:tcPr>
          <w:p w14:paraId="4C124CD6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94D81" w:rsidRPr="00C94D81" w14:paraId="537CC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B364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estrutural de LT</w:t>
            </w:r>
          </w:p>
        </w:tc>
        <w:tc>
          <w:tcPr>
            <w:tcW w:w="0" w:type="auto"/>
            <w:vAlign w:val="center"/>
            <w:hideMark/>
          </w:tcPr>
          <w:p w14:paraId="516CBC33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94D81" w:rsidRPr="00C94D81" w14:paraId="459F0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F2BE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1D5E4C3A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mencionados</w:t>
            </w:r>
          </w:p>
        </w:tc>
      </w:tr>
      <w:tr w:rsidR="00C94D81" w:rsidRPr="00C94D81" w14:paraId="15AD6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4AFC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topológica da rede</w:t>
            </w:r>
          </w:p>
        </w:tc>
        <w:tc>
          <w:tcPr>
            <w:tcW w:w="0" w:type="auto"/>
            <w:vAlign w:val="center"/>
            <w:hideMark/>
          </w:tcPr>
          <w:p w14:paraId="32D44D7C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94D81" w:rsidRPr="00C94D81" w14:paraId="2C901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3B0F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sistêmica elétrica</w:t>
            </w:r>
          </w:p>
        </w:tc>
        <w:tc>
          <w:tcPr>
            <w:tcW w:w="0" w:type="auto"/>
            <w:vAlign w:val="center"/>
            <w:hideMark/>
          </w:tcPr>
          <w:p w14:paraId="67F491F4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94D81" w:rsidRPr="00C94D81" w14:paraId="5719D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8CDF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Análise quantitativa</w:t>
            </w:r>
          </w:p>
        </w:tc>
        <w:tc>
          <w:tcPr>
            <w:tcW w:w="0" w:type="auto"/>
            <w:vAlign w:val="center"/>
            <w:hideMark/>
          </w:tcPr>
          <w:p w14:paraId="5EE01F33" w14:textId="77777777" w:rsidR="00C94D81" w:rsidRPr="00C94D81" w:rsidRDefault="00C94D81" w:rsidP="00C94D8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4D8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6A83072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 tese: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média-baixa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94D8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sistêmica: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4D574B66" w14:textId="77777777" w:rsidR="00C94D81" w:rsidRPr="00C94D81" w:rsidRDefault="00C94D81" w:rsidP="00C94D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D8D551">
          <v:rect id="_x0000_i1032" style="width:0;height:1.5pt" o:hralign="center" o:hrstd="t" o:hr="t" fillcolor="#a0a0a0" stroked="f"/>
        </w:pict>
      </w:r>
    </w:p>
    <w:p w14:paraId="28F4548F" w14:textId="77777777" w:rsidR="00C94D81" w:rsidRPr="00C94D81" w:rsidRDefault="00C94D81" w:rsidP="00C94D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05CB6E2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muito útil para:</w:t>
      </w:r>
    </w:p>
    <w:p w14:paraId="3FE0DA23" w14:textId="77777777" w:rsidR="00C94D81" w:rsidRPr="00C94D81" w:rsidRDefault="00C94D81" w:rsidP="00C94D8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distinção entre:</w:t>
      </w:r>
    </w:p>
    <w:p w14:paraId="301D48FB" w14:textId="77777777" w:rsidR="00C94D81" w:rsidRPr="00C94D81" w:rsidRDefault="00C94D81" w:rsidP="00C94D8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estrutural (sua tese),</w:t>
      </w:r>
    </w:p>
    <w:p w14:paraId="6E859DF9" w14:textId="77777777" w:rsidR="00C94D81" w:rsidRPr="00C94D81" w:rsidRDefault="00C94D81" w:rsidP="00C94D81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 sistêmica;</w:t>
      </w:r>
    </w:p>
    <w:p w14:paraId="170A3CAA" w14:textId="77777777" w:rsidR="00C94D81" w:rsidRPr="00C94D81" w:rsidRDefault="00C94D81" w:rsidP="00C94D8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que:</w:t>
      </w:r>
    </w:p>
    <w:p w14:paraId="7EC60C1D" w14:textId="77777777" w:rsidR="00C94D81" w:rsidRPr="00C94D81" w:rsidRDefault="00C94D81" w:rsidP="00C94D8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DERs aumentam a robustez sistêmica, mas não substituem a robustez física das LT;</w:t>
      </w:r>
    </w:p>
    <w:p w14:paraId="0ECBA3E2" w14:textId="77777777" w:rsidR="00C94D81" w:rsidRPr="00C94D81" w:rsidRDefault="00C94D81" w:rsidP="00C94D8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o papel de indicadores simples de resiliência;</w:t>
      </w:r>
    </w:p>
    <w:p w14:paraId="355AC595" w14:textId="77777777" w:rsidR="00C94D81" w:rsidRPr="00C94D81" w:rsidRDefault="00C94D81" w:rsidP="00C94D8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discussões de arquitetura de rede e topologia.</w:t>
      </w:r>
    </w:p>
    <w:p w14:paraId="765AAC9C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adequado para:</w:t>
      </w:r>
    </w:p>
    <w:p w14:paraId="0F9CC174" w14:textId="77777777" w:rsidR="00C94D81" w:rsidRPr="00C94D81" w:rsidRDefault="00C94D81" w:rsidP="00C94D8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modelar dano físico de linhas,</w:t>
      </w:r>
    </w:p>
    <w:p w14:paraId="0BB63E75" w14:textId="77777777" w:rsidR="00C94D81" w:rsidRPr="00C94D81" w:rsidRDefault="00C94D81" w:rsidP="00C94D8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construir curvas de fragilidade,</w:t>
      </w:r>
    </w:p>
    <w:p w14:paraId="6986D4A2" w14:textId="77777777" w:rsidR="00C94D81" w:rsidRPr="00C94D81" w:rsidRDefault="00C94D81" w:rsidP="00C94D8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estimar tempos de reparo,</w:t>
      </w:r>
    </w:p>
    <w:p w14:paraId="74984BA7" w14:textId="77777777" w:rsidR="00C94D81" w:rsidRPr="00C94D81" w:rsidRDefault="00C94D81" w:rsidP="00C94D8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desenvolver diretamente seu índice físico de resiliência.</w:t>
      </w:r>
    </w:p>
    <w:p w14:paraId="119B28BA" w14:textId="77777777" w:rsidR="00C94D81" w:rsidRPr="00C94D81" w:rsidRDefault="00C94D81" w:rsidP="00C94D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7C73B1">
          <v:rect id="_x0000_i1033" style="width:0;height:1.5pt" o:hralign="center" o:hrstd="t" o:hr="t" fillcolor="#a0a0a0" stroked="f"/>
        </w:pict>
      </w:r>
    </w:p>
    <w:p w14:paraId="08762025" w14:textId="77777777" w:rsidR="00C94D81" w:rsidRPr="00C94D81" w:rsidRDefault="00C94D81" w:rsidP="00C94D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36BBE43D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🟡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612FC5DC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como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complementar metodológico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pilar central da tese.</w:t>
      </w:r>
    </w:p>
    <w:p w14:paraId="00C670A0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57DB6C96" w14:textId="77777777" w:rsidR="00C94D81" w:rsidRPr="00C94D81" w:rsidRDefault="00C94D81" w:rsidP="00C94D8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Excelente para a discussão sistêmica e topológica da resiliência.</w:t>
      </w:r>
    </w:p>
    <w:p w14:paraId="17E194C2" w14:textId="77777777" w:rsidR="00C94D81" w:rsidRPr="00C94D81" w:rsidRDefault="00C94D81" w:rsidP="00C94D8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aborda a física do colapso estrutural das linhas, que é o núcleo da sua tese.</w:t>
      </w:r>
    </w:p>
    <w:p w14:paraId="44148262" w14:textId="77777777" w:rsidR="00C94D81" w:rsidRPr="00C94D81" w:rsidRDefault="00C94D81" w:rsidP="00C94D8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Serve como contraponto conceitual: resiliência elétrica ≠ resiliência estrutural.</w:t>
      </w:r>
    </w:p>
    <w:p w14:paraId="61DAD45F" w14:textId="77777777" w:rsidR="00C94D81" w:rsidRPr="00C94D81" w:rsidRDefault="00C94D81" w:rsidP="00C94D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6F4363">
          <v:rect id="_x0000_i1034" style="width:0;height:1.5pt" o:hralign="center" o:hrstd="t" o:hr="t" fillcolor="#a0a0a0" stroked="f"/>
        </w:pict>
      </w:r>
    </w:p>
    <w:p w14:paraId="23123A7F" w14:textId="77777777" w:rsidR="00C94D81" w:rsidRPr="00C94D81" w:rsidRDefault="00C94D81" w:rsidP="00C94D8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0D5AE8E4" w14:textId="77777777" w:rsidR="00C94D81" w:rsidRPr="00C94D81" w:rsidRDefault="00C94D81" w:rsidP="00C94D8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3A522A1" w14:textId="77777777" w:rsidR="00C94D81" w:rsidRPr="00C94D81" w:rsidRDefault="00C94D81" w:rsidP="00C94D8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sistêmica da rede elétrica por descentralização usando modelo matemático de inoperabilidade</w:t>
      </w:r>
    </w:p>
    <w:p w14:paraId="212E7659" w14:textId="77777777" w:rsidR="00C94D81" w:rsidRPr="00C94D81" w:rsidRDefault="00C94D81" w:rsidP="00C94D8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0E7EF18D" w14:textId="77777777" w:rsidR="00C94D81" w:rsidRPr="00C94D81" w:rsidRDefault="00C94D81" w:rsidP="00C94D8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705710F" w14:textId="77777777" w:rsidR="00C94D81" w:rsidRPr="00C94D81" w:rsidRDefault="00C94D81" w:rsidP="00C94D8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66CF272F" w14:textId="77777777" w:rsidR="00C94D81" w:rsidRPr="00C94D81" w:rsidRDefault="00C94D81" w:rsidP="00C94D8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341F3501" w14:textId="77777777" w:rsidR="00C94D81" w:rsidRPr="00C94D81" w:rsidRDefault="00C94D81" w:rsidP="00C94D81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metodológica indireta</w:t>
      </w:r>
    </w:p>
    <w:p w14:paraId="2C4135AA" w14:textId="77777777" w:rsidR="00C94D81" w:rsidRPr="00C94D81" w:rsidRDefault="00C94D81" w:rsidP="00C94D8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5CB48D7A" w14:textId="77777777" w:rsidR="00C94D81" w:rsidRPr="00C94D81" w:rsidRDefault="00C94D81" w:rsidP="00C94D8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7910FE">
          <v:rect id="_x0000_i1035" style="width:0;height:1.5pt" o:hralign="center" o:hrstd="t" o:hr="t" fillcolor="#a0a0a0" stroked="f"/>
        </w:pict>
      </w:r>
    </w:p>
    <w:p w14:paraId="15A46F8B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94D8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6057E263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artigo forte em resiliência elétrica sistêmica e modelagem matemática simples.</w:t>
      </w: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sua tese é forte em resiliência física de infraestrutura de transmissão.</w:t>
      </w:r>
    </w:p>
    <w:p w14:paraId="2694E754" w14:textId="77777777" w:rsidR="00C94D81" w:rsidRPr="00C94D81" w:rsidRDefault="00C94D81" w:rsidP="00C94D8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4D8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se complementam conceitualmente, mas não se substituem.</w:t>
      </w:r>
    </w:p>
    <w:p w14:paraId="44D0FD3C" w14:textId="77777777" w:rsidR="00244DB8" w:rsidRPr="00C94D81" w:rsidRDefault="00244DB8"/>
    <w:sectPr w:rsidR="00244DB8" w:rsidRPr="00C94D8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1A63"/>
    <w:multiLevelType w:val="multilevel"/>
    <w:tmpl w:val="EA2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2745"/>
    <w:multiLevelType w:val="multilevel"/>
    <w:tmpl w:val="52A4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476B9"/>
    <w:multiLevelType w:val="multilevel"/>
    <w:tmpl w:val="B24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B547F"/>
    <w:multiLevelType w:val="multilevel"/>
    <w:tmpl w:val="958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95820"/>
    <w:multiLevelType w:val="multilevel"/>
    <w:tmpl w:val="0B20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0362A"/>
    <w:multiLevelType w:val="multilevel"/>
    <w:tmpl w:val="2E38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9262E"/>
    <w:multiLevelType w:val="multilevel"/>
    <w:tmpl w:val="DE3E8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D204F7"/>
    <w:multiLevelType w:val="multilevel"/>
    <w:tmpl w:val="544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91A1F"/>
    <w:multiLevelType w:val="multilevel"/>
    <w:tmpl w:val="9E5E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13425"/>
    <w:multiLevelType w:val="multilevel"/>
    <w:tmpl w:val="80C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222202">
    <w:abstractNumId w:val="9"/>
  </w:num>
  <w:num w:numId="2" w16cid:durableId="1817142768">
    <w:abstractNumId w:val="0"/>
  </w:num>
  <w:num w:numId="3" w16cid:durableId="1435635997">
    <w:abstractNumId w:val="8"/>
  </w:num>
  <w:num w:numId="4" w16cid:durableId="2074620605">
    <w:abstractNumId w:val="5"/>
  </w:num>
  <w:num w:numId="5" w16cid:durableId="2109421138">
    <w:abstractNumId w:val="6"/>
  </w:num>
  <w:num w:numId="6" w16cid:durableId="1574314366">
    <w:abstractNumId w:val="4"/>
  </w:num>
  <w:num w:numId="7" w16cid:durableId="2122842213">
    <w:abstractNumId w:val="2"/>
  </w:num>
  <w:num w:numId="8" w16cid:durableId="163906856">
    <w:abstractNumId w:val="7"/>
  </w:num>
  <w:num w:numId="9" w16cid:durableId="1711420006">
    <w:abstractNumId w:val="1"/>
  </w:num>
  <w:num w:numId="10" w16cid:durableId="340546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DB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4DB8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94D81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D5139"/>
  <w15:chartTrackingRefBased/>
  <w15:docId w15:val="{725DDCED-8E70-4AE6-9127-6082A5A9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D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D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D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D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DB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DB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DB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DB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DB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44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DB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44D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4D8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94D81"/>
    <w:rPr>
      <w:b/>
      <w:bCs/>
    </w:rPr>
  </w:style>
  <w:style w:type="character" w:styleId="Emphasis">
    <w:name w:val="Emphasis"/>
    <w:basedOn w:val="DefaultParagraphFont"/>
    <w:uiPriority w:val="20"/>
    <w:qFormat/>
    <w:rsid w:val="00C94D81"/>
    <w:rPr>
      <w:i/>
      <w:iCs/>
    </w:rPr>
  </w:style>
  <w:style w:type="character" w:customStyle="1" w:styleId="relative">
    <w:name w:val="relative"/>
    <w:basedOn w:val="DefaultParagraphFont"/>
    <w:rsid w:val="00C94D81"/>
  </w:style>
  <w:style w:type="paragraph" w:customStyle="1" w:styleId="not-prose">
    <w:name w:val="not-prose"/>
    <w:basedOn w:val="Normal"/>
    <w:rsid w:val="00C94D8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969</Words>
  <Characters>5238</Characters>
  <Application>Microsoft Office Word</Application>
  <DocSecurity>0</DocSecurity>
  <Lines>43</Lines>
  <Paragraphs>12</Paragraphs>
  <ScaleCrop>false</ScaleCrop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2026-01-11T16:47:00Z</dcterms:created>
  <dcterms:modified xsi:type="dcterms:W3CDTF">2026-01-11T16:48:00Z</dcterms:modified>
</cp:coreProperties>
</file>