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740B" w14:textId="19A78573" w:rsidR="00AC5231" w:rsidRDefault="00E415A0">
      <w:pPr>
        <w:rPr>
          <w:lang w:val="en-US"/>
        </w:rPr>
      </w:pPr>
      <w:r w:rsidRPr="00E415A0">
        <w:rPr>
          <w:lang w:val="en-US"/>
        </w:rPr>
        <w:t>2024 Framework for Preventive Control of Power Systems to Defend Against Extreme Events-CSEE</w:t>
      </w:r>
    </w:p>
    <w:p w14:paraId="63F48C1A" w14:textId="77777777" w:rsidR="00E415A0" w:rsidRDefault="00E415A0">
      <w:pPr>
        <w:rPr>
          <w:lang w:val="en-US"/>
        </w:rPr>
      </w:pPr>
    </w:p>
    <w:p w14:paraId="71703AA8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 — e obrigado por sinalizar. Vou tratar </w:t>
      </w:r>
      <w:proofErr w:type="gramStart"/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como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primeira avaliação</w:t>
      </w:r>
      <w:proofErr w:type="gramEnd"/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“reavaliação”), seguindo o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técnico resumido + métricas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definiu para triagem.</w:t>
      </w:r>
    </w:p>
    <w:p w14:paraId="79872FF2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Arquivo: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2024 Framework for Preventive Control of Power Systems to Defend Against Extreme Events – CSEE Journal of Power and Energy Systems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2474CED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145EFD3D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E16524">
          <v:rect id="_x0000_i1025" style="width:0;height:1.5pt" o:hralign="center" o:hrstd="t" o:hr="t" fillcolor="#a0a0a0" stroked="f"/>
        </w:pict>
      </w:r>
    </w:p>
    <w:p w14:paraId="1B25B82C" w14:textId="77777777" w:rsidR="00835A65" w:rsidRPr="00835A65" w:rsidRDefault="00835A65" w:rsidP="00835A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</w:t>
      </w:r>
    </w:p>
    <w:p w14:paraId="11172D81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Natureza do documento</w:t>
      </w:r>
    </w:p>
    <w:p w14:paraId="41396636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(journal) com proposta de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unificado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controlo preventivo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 sob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Estrutura em três blocos: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(i) avaliação de resiliência, (ii) graduação (níveis), (iii) estratégias de reforço/controlo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212EFDF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3B891813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F1E1D5">
          <v:rect id="_x0000_i1026" style="width:0;height:1.5pt" o:hralign="center" o:hrstd="t" o:hr="t" fillcolor="#a0a0a0" stroked="f"/>
        </w:pict>
      </w:r>
    </w:p>
    <w:p w14:paraId="156D777B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Conteúdo técnico (o que o artigo realmente entrega)</w:t>
      </w:r>
    </w:p>
    <w:p w14:paraId="238D76B6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Avaliação de resiliência em dois níveis</w:t>
      </w:r>
    </w:p>
    <w:p w14:paraId="050FF378" w14:textId="77777777" w:rsidR="00835A65" w:rsidRPr="00835A65" w:rsidRDefault="00835A65" w:rsidP="00835A6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Facility-level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usa explicitamente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relacionar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evento extremo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ativos (linhas/torres etc.). A curva genérica é apresentada (Fig. 2) e o artigo assume fragilidade prévia de trabalho anterior para aplicar no caso. </w:t>
      </w:r>
    </w:p>
    <w:p w14:paraId="4FFC03C8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1229EA8C" w14:textId="77777777" w:rsidR="00835A65" w:rsidRPr="00835A65" w:rsidRDefault="00835A65" w:rsidP="00835A6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System-level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cria um conjunto de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impactos no sistema após retirada das “linhas vulneráveis” (contingency set). </w:t>
      </w:r>
    </w:p>
    <w:p w14:paraId="6D17BCFF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42BA6F0F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Índices de resiliência definidos por segurança e estabilidade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argumenta que métricas clássicas focadas apenas em perda de carga/geração são insuficientes e propõe índices que cobrem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e estabilidade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3):</w:t>
      </w:r>
    </w:p>
    <w:p w14:paraId="05436600" w14:textId="77777777" w:rsidR="00835A65" w:rsidRPr="00835A65" w:rsidRDefault="00835A65" w:rsidP="00835A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Segurança: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VDS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(Voltage Deviation Severity),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(Line Overload Severity),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SSA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(Static Security Analysis – N-1).</w:t>
      </w:r>
    </w:p>
    <w:p w14:paraId="05ACAF6C" w14:textId="77777777" w:rsidR="00835A65" w:rsidRPr="00835A65" w:rsidRDefault="00835A65" w:rsidP="00835A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Estabilidade: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SRAS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(Static Rotor Angle Stability),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SVS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(Static Voltage Stability),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SFS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(Static Frequency Stability). </w:t>
      </w:r>
    </w:p>
    <w:p w14:paraId="4CD27629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410BD803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Destaque técnico importante: o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 é modelado por temperatura do condutor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equação diferencial térmica (Eq. 2) e severidade por exceder limite térmico (Eq. 3), citando IEEE Standard [30] no próprio artigo e valores típicos como 90 °C (normal) e 250 °C (pós-falta curta duração) como base de gradação. </w:t>
      </w:r>
    </w:p>
    <w:p w14:paraId="7E6AD21D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30B995F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“Resilience grading” como ponte decisão-ação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Cria uma graduação (Tabela I) em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baixo/médio/alto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cada índice e usa a lógica de “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wooden barrel theory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(o pior índice define o nível global). A partir do nível global, define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 tipo de controlo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aplicar (Tabela II) 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princípios de controlo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III). </w:t>
      </w:r>
    </w:p>
    <w:p w14:paraId="4F07AEA6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74C3E7AD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Estratégia de reforço: Preventive Controlled Islanding (PCI)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Propõe PCI antes do evento: incluir linhas vulneráveis na “splitting surface” e separar o sistema em ilhas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auto-suficientes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minimizando shedding (objetivo Eq. 10) via MILP, com restrições de conectividade, balanço, tensão etc. </w:t>
      </w:r>
    </w:p>
    <w:p w14:paraId="1A9BBBBB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37DAD5A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2.5 Demonstração com tufões reais (Lekima e Hagupit)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estudo de caso aplica:</w:t>
      </w:r>
    </w:p>
    <w:p w14:paraId="67704D47" w14:textId="77777777" w:rsidR="00835A65" w:rsidRPr="00835A65" w:rsidRDefault="00835A65" w:rsidP="00835A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previsão horária do evento;</w:t>
      </w:r>
    </w:p>
    <w:p w14:paraId="5A519919" w14:textId="77777777" w:rsidR="00835A65" w:rsidRPr="00835A65" w:rsidRDefault="00835A65" w:rsidP="00835A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de linhas e torres sob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de tufão + chuva intensa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5), com probabilidades de falha ao longo do tempo (Fig. 6);</w:t>
      </w:r>
    </w:p>
    <w:p w14:paraId="076B3B0A" w14:textId="77777777" w:rsidR="00835A65" w:rsidRPr="00835A65" w:rsidRDefault="00835A65" w:rsidP="00835A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por índices (Tabelas IV e V);</w:t>
      </w:r>
    </w:p>
    <w:p w14:paraId="37C491C6" w14:textId="77777777" w:rsidR="00835A65" w:rsidRPr="00835A65" w:rsidRDefault="00835A65" w:rsidP="00835A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prova de eficácia: PCI transforma momentos “low resilience” em ilhas com “high resilience” (Tabelas VI e VII) e compara custo/efeito com controlo pós-evento (TCI):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PCI: high level com 295 MW load shedding vs TCI: low level com 687 MW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X). </w:t>
      </w:r>
    </w:p>
    <w:p w14:paraId="0B193A0A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1D454B1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71745B">
          <v:rect id="_x0000_i1027" style="width:0;height:1.5pt" o:hralign="center" o:hrstd="t" o:hr="t" fillcolor="#a0a0a0" stroked="f"/>
        </w:pict>
      </w:r>
    </w:p>
    <w:p w14:paraId="29C1F9F2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face à sua tese (críticas, mas não eliminatórias)</w:t>
      </w:r>
    </w:p>
    <w:p w14:paraId="119E851F" w14:textId="77777777" w:rsidR="00835A65" w:rsidRPr="00835A65" w:rsidRDefault="00835A65" w:rsidP="00835A6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é majoritariamente sistêmica/operacional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um modelo de dano estrutural detalhado por componente (torre, fundação, condutor) com mecânica de falha. A fragilidade aparece como input (muitas vezes de trabalho anterior), não como desenvolvimento físico completo. </w:t>
      </w:r>
    </w:p>
    <w:p w14:paraId="09659F53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1A9DFB50" w14:textId="77777777" w:rsidR="00835A65" w:rsidRPr="00835A65" w:rsidRDefault="00835A65" w:rsidP="00835A6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assume avaliação em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estacionário pós-retirada de linhas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explicitamente evita modelar “fault process” detalhado (tipo/duração/local de falta), por imprevisibilidade antes do evento. Isso é coerente para prevenção, mas pode ser uma limitação se sua tese incluir mecanismos eletromecânicos transitórios detalhados em LT. </w:t>
      </w:r>
    </w:p>
    <w:p w14:paraId="39BEDC78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A1CA81B" w14:textId="77777777" w:rsidR="00835A65" w:rsidRPr="00835A65" w:rsidRDefault="00835A65" w:rsidP="00835A6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de decisão do controlo (barrel theory) combina índices por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mínimo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por um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integrado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 pode ser o foco do seu “Índice de Resiliência das LT”). </w:t>
      </w:r>
    </w:p>
    <w:p w14:paraId="6869FCB5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451090FB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89A7F1">
          <v:rect id="_x0000_i1028" style="width:0;height:1.5pt" o:hralign="center" o:hrstd="t" o:hr="t" fillcolor="#a0a0a0" stroked="f"/>
        </w:pict>
      </w:r>
    </w:p>
    <w:p w14:paraId="2796D63C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Valor real para a sua tese</w:t>
      </w:r>
    </w:p>
    <w:p w14:paraId="60A58899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forte para a sua tese em quatro pontos:</w:t>
      </w:r>
    </w:p>
    <w:p w14:paraId="49763664" w14:textId="77777777" w:rsidR="00835A65" w:rsidRPr="00835A65" w:rsidRDefault="00835A65" w:rsidP="00835A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legitima “evento extremo → fragilidade → linhas vulneráveis → impacto sistêmico”, e mostra como transformar isso em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operacionais mensuráveis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71167E1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51CAFC80" w14:textId="77777777" w:rsidR="00835A65" w:rsidRPr="00835A65" w:rsidRDefault="00835A65" w:rsidP="00835A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de indicadores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propõe um conjunto robusto que cobre tensão, sobrecarga térmica, N-1, estabilidade (ângulo/ tensão/ frequência). Você pode usar como referência de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dimensões mínimas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índice. </w:t>
      </w:r>
    </w:p>
    <w:p w14:paraId="7345AB90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52D3B72F" w14:textId="77777777" w:rsidR="00835A65" w:rsidRPr="00835A65" w:rsidRDefault="00835A65" w:rsidP="00835A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Conexão com decisão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“grading” e a ligação a ações (preventivo vs pós-evento) é um excelente componente para justificar que seu índice deve ser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acionável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apenas descritivo). </w:t>
      </w:r>
    </w:p>
    <w:p w14:paraId="1F277A4A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488B3828" w14:textId="77777777" w:rsidR="00835A65" w:rsidRPr="00835A65" w:rsidRDefault="00835A65" w:rsidP="00835A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de transmissão real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(≥110 kV) e eventos extremos previsíveis (tufões/chuvas), encaixando bem na narrativa de resiliência de LT. </w:t>
      </w:r>
    </w:p>
    <w:p w14:paraId="1FF6371E" w14:textId="77777777" w:rsidR="00835A65" w:rsidRPr="00835A65" w:rsidRDefault="00835A65" w:rsidP="00835A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43AD328B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FC9D26">
          <v:rect id="_x0000_i1029" style="width:0;height:1.5pt" o:hralign="center" o:hrstd="t" o:hr="t" fillcolor="#a0a0a0" stroked="f"/>
        </w:pict>
      </w:r>
    </w:p>
    <w:p w14:paraId="6678E49F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Decisão fundamentada</w:t>
      </w:r>
    </w:p>
    <w:p w14:paraId="46E797B4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DB3BC77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Justificativa: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Porque este artigo entrega exatamente um “esqueleto” metodológico que você pode adaptar para o seu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ele liga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(ativo)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(sistema)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tomada de decisão (níveis e controlo)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valida com eventos extremos reais e comparação com estratégias alternativas. </w:t>
      </w:r>
    </w:p>
    <w:p w14:paraId="33520689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CD17F6C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25710E">
          <v:rect id="_x0000_i1030" style="width:0;height:1.5pt" o:hralign="center" o:hrstd="t" o:hr="t" fillcolor="#a0a0a0" stroked="f"/>
        </w:pict>
      </w:r>
    </w:p>
    <w:p w14:paraId="3C124147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Síntese final</w:t>
      </w:r>
    </w:p>
    <w:p w14:paraId="235F2220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Trabalho muito útil como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metodologia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de avaliação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sob eventos extremos, com forte componente de transmissão e com uso explícito de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operacionais/stability/security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seu diferencial na tese pode ser: transformar esse conjunto em um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integrado específico para LT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incorporando (se desejar) maior profundidade física de dano e recuperação.</w:t>
      </w:r>
    </w:p>
    <w:p w14:paraId="13ACFD98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6EED0A">
          <v:rect id="_x0000_i1031" style="width:0;height:1.5pt" o:hralign="center" o:hrstd="t" o:hr="t" fillcolor="#a0a0a0" stroked="f"/>
        </w:pict>
      </w:r>
    </w:p>
    <w:p w14:paraId="6E896D22" w14:textId="77777777" w:rsidR="00835A65" w:rsidRPr="00835A65" w:rsidRDefault="00835A65" w:rsidP="00835A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Métricas (para a sua tabela)</w:t>
      </w:r>
    </w:p>
    <w:p w14:paraId="292CA50B" w14:textId="77777777" w:rsidR="00835A65" w:rsidRPr="00835A65" w:rsidRDefault="00835A65" w:rsidP="00835A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0C45BDB" w14:textId="77777777" w:rsidR="00835A65" w:rsidRPr="00835A65" w:rsidRDefault="00835A65" w:rsidP="00835A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de controlo preventivo e avaliação de resiliência de sistemas (transmissão) sob eventos extremos, com fragilidade + índices de segurança/estabilidade + controlled islanding preventivo</w:t>
      </w:r>
    </w:p>
    <w:p w14:paraId="7804B79F" w14:textId="77777777" w:rsidR="00835A65" w:rsidRPr="00835A65" w:rsidRDefault="00835A65" w:rsidP="00835A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8055182" w14:textId="77777777" w:rsidR="00835A65" w:rsidRPr="00835A65" w:rsidRDefault="00835A65" w:rsidP="00835A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Metodologia adotada; Resiliência dos sistemas elétricos; Lacuna encontrada</w:t>
      </w:r>
    </w:p>
    <w:p w14:paraId="2F14E715" w14:textId="77777777" w:rsidR="00835A65" w:rsidRPr="00835A65" w:rsidRDefault="00835A65" w:rsidP="00835A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(0–10) – Resiliência das Linhas de Transmissão:</w:t>
      </w: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35A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FF1D7F6" w14:textId="77777777" w:rsidR="00835A65" w:rsidRPr="00835A65" w:rsidRDefault="00835A65" w:rsidP="00835A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88995B">
          <v:rect id="_x0000_i1032" style="width:0;height:1.5pt" o:hralign="center" o:hrstd="t" o:hr="t" fillcolor="#a0a0a0" stroked="f"/>
        </w:pict>
      </w:r>
    </w:p>
    <w:p w14:paraId="0BF6CF36" w14:textId="77777777" w:rsidR="00835A65" w:rsidRPr="00835A65" w:rsidRDefault="00835A65" w:rsidP="00835A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835A6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(IEEE)</w:t>
      </w:r>
    </w:p>
    <w:p w14:paraId="1678121A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Y. Xiang, T. Wang, and Z. Wang, “Framework for Preventive Control of Power Systems to Defend Against Extreme Events,” </w:t>
      </w:r>
      <w:r w:rsidRPr="00835A6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CSEE Journal of Power and Energy Systems</w:t>
      </w:r>
      <w:r w:rsidRPr="00835A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10, no. 2, pp. 856–?, Mar. 2024, doi: 10.17775/CSEEJPES.2022.07290. </w:t>
      </w:r>
    </w:p>
    <w:p w14:paraId="175B2DDD" w14:textId="77777777" w:rsidR="00835A65" w:rsidRPr="00835A65" w:rsidRDefault="00835A65" w:rsidP="00835A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5A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Framework for Preventive C…</w:t>
      </w:r>
    </w:p>
    <w:p w14:paraId="67386D70" w14:textId="77777777" w:rsidR="00E415A0" w:rsidRPr="00E415A0" w:rsidRDefault="00E415A0">
      <w:pPr>
        <w:rPr>
          <w:lang w:val="en-US"/>
        </w:rPr>
      </w:pPr>
    </w:p>
    <w:sectPr w:rsidR="00E415A0" w:rsidRPr="00E415A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4BAA"/>
    <w:multiLevelType w:val="multilevel"/>
    <w:tmpl w:val="1C6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539E"/>
    <w:multiLevelType w:val="multilevel"/>
    <w:tmpl w:val="33A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87F0F"/>
    <w:multiLevelType w:val="multilevel"/>
    <w:tmpl w:val="55C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67615"/>
    <w:multiLevelType w:val="multilevel"/>
    <w:tmpl w:val="AF52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838E0"/>
    <w:multiLevelType w:val="multilevel"/>
    <w:tmpl w:val="6ED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00C09"/>
    <w:multiLevelType w:val="multilevel"/>
    <w:tmpl w:val="DFB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46398">
    <w:abstractNumId w:val="5"/>
  </w:num>
  <w:num w:numId="2" w16cid:durableId="1487823287">
    <w:abstractNumId w:val="1"/>
  </w:num>
  <w:num w:numId="3" w16cid:durableId="1320966242">
    <w:abstractNumId w:val="4"/>
  </w:num>
  <w:num w:numId="4" w16cid:durableId="2103447209">
    <w:abstractNumId w:val="3"/>
  </w:num>
  <w:num w:numId="5" w16cid:durableId="747339435">
    <w:abstractNumId w:val="0"/>
  </w:num>
  <w:num w:numId="6" w16cid:durableId="105913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A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35A65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415A0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11EA"/>
  <w15:chartTrackingRefBased/>
  <w15:docId w15:val="{B7542851-93A2-4A1F-B1C8-C2E4E34F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A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A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A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A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A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4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A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415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A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35A65"/>
    <w:rPr>
      <w:b/>
      <w:bCs/>
    </w:rPr>
  </w:style>
  <w:style w:type="character" w:customStyle="1" w:styleId="relative">
    <w:name w:val="relative"/>
    <w:basedOn w:val="DefaultParagraphFont"/>
    <w:rsid w:val="00835A65"/>
  </w:style>
  <w:style w:type="paragraph" w:customStyle="1" w:styleId="not-prose">
    <w:name w:val="not-prose"/>
    <w:basedOn w:val="Normal"/>
    <w:rsid w:val="00835A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35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1086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2026-01-11T18:11:00Z</dcterms:created>
  <dcterms:modified xsi:type="dcterms:W3CDTF">2026-01-11T18:11:00Z</dcterms:modified>
</cp:coreProperties>
</file>