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CF53" w14:textId="4E90A6E1" w:rsidR="00AC5231" w:rsidRPr="00026160" w:rsidRDefault="00026160">
      <w:pPr>
        <w:rPr>
          <w:lang w:val="en-US"/>
        </w:rPr>
      </w:pPr>
      <w:r w:rsidRPr="00026160">
        <w:rPr>
          <w:lang w:val="en-US"/>
        </w:rPr>
        <w:t>2024 Identification and Prioritization of Critical Transmission Lines Under Malicious Physical Attacks-IEEE</w:t>
      </w:r>
    </w:p>
    <w:p w14:paraId="09D008F5" w14:textId="77777777" w:rsidR="00026160" w:rsidRDefault="00026160">
      <w:pPr>
        <w:rPr>
          <w:lang w:val="en-US"/>
        </w:rPr>
      </w:pPr>
    </w:p>
    <w:p w14:paraId="65E09E11" w14:textId="77777777" w:rsidR="00026160" w:rsidRPr="00026160" w:rsidRDefault="00026160" w:rsidP="000261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(2024) — Avaliação técnica no seu modelo padrão</w:t>
      </w:r>
    </w:p>
    <w:p w14:paraId="751CD66D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2616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Identification and Prioritization of Critical Transmission Lines Under Malicious Physical Attacks-IEEE.pdf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6E5B1525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Identification and Priorit…</w:t>
      </w:r>
    </w:p>
    <w:p w14:paraId="37472EE4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Identification and Prioritization of Critical Transmission Lines Under Malicious Physical Attacks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Autores: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Keji Chen; Maohua Li; Yingqi Tie; Binrong Zhu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2616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4th International Conference on Energy, Power and Electrical Engineering (EPEE)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IEEE; DOI: 10.1109/EPEE63731.2024.10875514 </w:t>
      </w:r>
    </w:p>
    <w:p w14:paraId="40DEC3CF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D0AB404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9803B0">
          <v:rect id="_x0000_i1025" style="width:0;height:1.5pt" o:hralign="center" o:hrstd="t" o:hr="t" fillcolor="#a0a0a0" stroked="f"/>
        </w:pict>
      </w:r>
    </w:p>
    <w:p w14:paraId="5EA8D2CB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DABB1AE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método para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identificar e priorizar linhas de transmissão críticas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 físicos maliciosos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em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de baixa frequência e alto impacto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criticidade é definida pelo impacto na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carga (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ações ótimas de operação (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re-despacho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no pós-ataque. </w:t>
      </w:r>
    </w:p>
    <w:p w14:paraId="0ECC2453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89A3BE6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D23535">
          <v:rect id="_x0000_i1026" style="width:0;height:1.5pt" o:hralign="center" o:hrstd="t" o:hr="t" fillcolor="#a0a0a0" stroked="f"/>
        </w:pict>
      </w:r>
    </w:p>
    <w:p w14:paraId="5FF8C5C9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(o que realmente agrega)</w:t>
      </w:r>
    </w:p>
    <w:p w14:paraId="65C8AB0D" w14:textId="77777777" w:rsidR="00026160" w:rsidRPr="00026160" w:rsidRDefault="00026160" w:rsidP="0002616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atacante–operador com otimização multinível (3 camadas):</w:t>
      </w:r>
    </w:p>
    <w:p w14:paraId="5E56F54D" w14:textId="77777777" w:rsidR="00026160" w:rsidRPr="00026160" w:rsidRDefault="00026160" w:rsidP="000261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Camada do atacante: maximiza </w:t>
      </w:r>
      <w:proofErr w:type="spellStart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limitação de recursos (binária de ataque por linha).</w:t>
      </w:r>
    </w:p>
    <w:p w14:paraId="490D742C" w14:textId="77777777" w:rsidR="00026160" w:rsidRPr="00026160" w:rsidRDefault="00026160" w:rsidP="000261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Camada do operador: minimiza </w:t>
      </w:r>
      <w:proofErr w:type="spellStart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OPF/DC-OPF pós-ataque.</w:t>
      </w:r>
    </w:p>
    <w:p w14:paraId="242E96B9" w14:textId="77777777" w:rsidR="00026160" w:rsidRPr="00026160" w:rsidRDefault="00026160" w:rsidP="0002616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Camada superior: escolhe um conjunto de linhas “críticas/protegidas” para minimizar perda esperada. </w:t>
      </w:r>
    </w:p>
    <w:p w14:paraId="2A590FC6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5BEED3B" w14:textId="77777777" w:rsidR="00026160" w:rsidRPr="00026160" w:rsidRDefault="00026160" w:rsidP="000261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Robustez a incertezas do atacante (DRO – 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Distributed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Optimization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trabalho trata a incerteza na distribuição do cenário de ataque via um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conjunto </w:t>
      </w:r>
      <w:proofErr w:type="spellStart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normado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(restrições por norma-1 e norma-infinito), procurando o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pior caso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distribuição (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worst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-case). </w:t>
      </w:r>
    </w:p>
    <w:p w14:paraId="789FC327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40E9D64" w14:textId="77777777" w:rsidR="00026160" w:rsidRPr="00026160" w:rsidRDefault="00026160" w:rsidP="000261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importância/criticidade da linha (ranking):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Define um índice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Λ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no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esperado de perda de carga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quando uma linha não é protegida, sob a pior distribuição de cenários. Isto produz um ranking objetivo de prioridade para investimento/fortificação. </w:t>
      </w:r>
    </w:p>
    <w:p w14:paraId="5FB8C04C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DB5FB93" w14:textId="77777777" w:rsidR="00026160" w:rsidRPr="00026160" w:rsidRDefault="00026160" w:rsidP="0002616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Validação em sistema teste (IEEE RTS-79):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Apresenta ranking de linhas críticas e quantifica perdas esperadas (MW) para linhas protegidas vs. não protegidas, evidenciando utilidade para priorização. </w:t>
      </w:r>
    </w:p>
    <w:p w14:paraId="598119AE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8C31BE6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4FE38F">
          <v:rect id="_x0000_i1027" style="width:0;height:1.5pt" o:hralign="center" o:hrstd="t" o:hr="t" fillcolor="#a0a0a0" stroked="f"/>
        </w:pict>
      </w:r>
    </w:p>
    <w:p w14:paraId="001231C8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 (Resiliência de LT por eventos climáticos)</w:t>
      </w:r>
    </w:p>
    <w:p w14:paraId="550C765C" w14:textId="77777777" w:rsidR="00026160" w:rsidRPr="00026160" w:rsidRDefault="00026160" w:rsidP="000261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Ameaça modelada: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ataques físicos intencionais (não clima). A transposição para clima é possível apenas por analogia (evento → indisponibilidade de linha), mas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cadeia física clima → fragilidade → falha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A2583CF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C3E8240" w14:textId="77777777" w:rsidR="00026160" w:rsidRPr="00026160" w:rsidRDefault="00026160" w:rsidP="000261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formulação típica DC/OPF e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tempos de reparo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logística, nem curva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desempenho×tempo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recuperação — que são centrais em “resiliência temporal” de LT. </w:t>
      </w:r>
    </w:p>
    <w:p w14:paraId="3517BA3A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A5008FA" w14:textId="77777777" w:rsidR="00026160" w:rsidRPr="00026160" w:rsidRDefault="00026160" w:rsidP="0002616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física: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trata “linha atacada = desconectada”, sem mecânica estrutural (torres/condutores), sem fragilidade. </w:t>
      </w:r>
    </w:p>
    <w:p w14:paraId="1B754AB8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DC03DE5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D9AC5B">
          <v:rect id="_x0000_i1028" style="width:0;height:1.5pt" o:hralign="center" o:hrstd="t" o:hr="t" fillcolor="#a0a0a0" stroked="f"/>
        </w:pict>
      </w:r>
    </w:p>
    <w:p w14:paraId="53137E37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2DDDDFEB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resiliência física de linhas por clima: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 não modelar fragilidade/recuperação).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para “criticidade/priorização de LT” em eventos extremos: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(ranking, robustez, pior caso, abordagem atacante–operador). </w:t>
      </w:r>
    </w:p>
    <w:p w14:paraId="33E40F57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F2D55B2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B6085F">
          <v:rect id="_x0000_i1029" style="width:0;height:1.5pt" o:hralign="center" o:hrstd="t" o:hr="t" fillcolor="#a0a0a0" stroked="f"/>
        </w:pict>
      </w:r>
    </w:p>
    <w:p w14:paraId="193D6662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5) Utilidade real para a sua tese (onde encaixa sem “diluir foco”)</w:t>
      </w:r>
    </w:p>
    <w:p w14:paraId="638D7379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Use este artigo para sustentar:</w:t>
      </w:r>
    </w:p>
    <w:p w14:paraId="4493D9CD" w14:textId="77777777" w:rsidR="00026160" w:rsidRPr="00026160" w:rsidRDefault="00026160" w:rsidP="000261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de identificação/priorização de linhas críticas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extremos;</w:t>
      </w:r>
    </w:p>
    <w:p w14:paraId="77175613" w14:textId="77777777" w:rsidR="00026160" w:rsidRPr="00026160" w:rsidRDefault="00026160" w:rsidP="000261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estrutura de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multinível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adversarial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e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(DRO)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aplicável quando há incerteza nos cenários;</w:t>
      </w:r>
    </w:p>
    <w:p w14:paraId="554E177A" w14:textId="77777777" w:rsidR="00026160" w:rsidRPr="00026160" w:rsidRDefault="00026160" w:rsidP="0002616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de um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criticidade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orientado a impacto sistêmico (perda de carga). </w:t>
      </w:r>
    </w:p>
    <w:p w14:paraId="2FE797D6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2B8B186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96BF67D">
          <v:rect id="_x0000_i1030" style="width:0;height:1.5pt" o:hralign="center" o:hrstd="t" o:hr="t" fillcolor="#a0a0a0" stroked="f"/>
        </w:pict>
      </w:r>
    </w:p>
    <w:p w14:paraId="627F5824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A653D96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8F87B89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FA7FAA7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 (objetiva):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Apesar de não tratar clima/fragilidade, o artigo é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eixo de tese de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identificação de linhas críticas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de reforços/ações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eventos extremos, com formalismo forte (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multi-level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DRO + índice). </w:t>
      </w:r>
    </w:p>
    <w:p w14:paraId="4A47C83C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ED99165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DBC1F3">
          <v:rect id="_x0000_i1031" style="width:0;height:1.5pt" o:hralign="center" o:hrstd="t" o:hr="t" fillcolor="#a0a0a0" stroked="f"/>
        </w:pict>
      </w:r>
    </w:p>
    <w:p w14:paraId="3BABA33D" w14:textId="77777777" w:rsidR="00026160" w:rsidRPr="00026160" w:rsidRDefault="00026160" w:rsidP="0002616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sua tabela)</w:t>
      </w:r>
    </w:p>
    <w:p w14:paraId="42A222F1" w14:textId="77777777" w:rsidR="00026160" w:rsidRPr="00026160" w:rsidRDefault="00026160" w:rsidP="000261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12351D6" w14:textId="77777777" w:rsidR="00026160" w:rsidRPr="00026160" w:rsidRDefault="00026160" w:rsidP="000261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Identificação e priorização de linhas de transmissão críticas sob ataques físicos maliciosos (modelo multinível + DRO + índice de criticidade) </w:t>
      </w:r>
    </w:p>
    <w:p w14:paraId="23077A3A" w14:textId="77777777" w:rsidR="00026160" w:rsidRPr="00026160" w:rsidRDefault="00026160" w:rsidP="0002616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0E8C3BB" w14:textId="77777777" w:rsidR="00026160" w:rsidRPr="00026160" w:rsidRDefault="00026160" w:rsidP="000261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2CA9D3C5" w14:textId="77777777" w:rsidR="00026160" w:rsidRPr="00026160" w:rsidRDefault="00026160" w:rsidP="000261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literatura; resiliência dos sistemas elétricos; metodologia adotada; lacuna encontrada</w:t>
      </w:r>
    </w:p>
    <w:p w14:paraId="0A2E09B5" w14:textId="77777777" w:rsidR="00026160" w:rsidRPr="00026160" w:rsidRDefault="00026160" w:rsidP="0002616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2616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6,8 / 10</w:t>
      </w:r>
    </w:p>
    <w:p w14:paraId="23370FC4" w14:textId="77777777" w:rsidR="00026160" w:rsidRPr="00026160" w:rsidRDefault="00026160" w:rsidP="0002616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AC4505">
          <v:rect id="_x0000_i1032" style="width:0;height:1.5pt" o:hralign="center" o:hrstd="t" o:hr="t" fillcolor="#a0a0a0" stroked="f"/>
        </w:pict>
      </w:r>
    </w:p>
    <w:p w14:paraId="12648FB9" w14:textId="77777777" w:rsidR="00026160" w:rsidRPr="00026160" w:rsidRDefault="00026160" w:rsidP="0002616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r w:rsidRPr="00026160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Referência (formato IEEE)</w:t>
      </w:r>
    </w:p>
    <w:p w14:paraId="36EA648E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lastRenderedPageBreak/>
        <w:t xml:space="preserve">[1] K. Chen, M. Li, Y. Tie, and B. Zhu, “Identification and Prioritization of Critical Transmission Lines Under Malicious Physical Attacks,” in </w:t>
      </w:r>
      <w:r w:rsidRPr="0002616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Proc. 2024 4th Int. Conf. on Energy, Power and Electrical Engineering (EPEE)</w:t>
      </w:r>
      <w:r w:rsidRPr="0002616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IEEE, 2024, doi: 10.1109/EPEE63731.2024.10875514. </w:t>
      </w:r>
    </w:p>
    <w:p w14:paraId="592065D7" w14:textId="77777777" w:rsidR="00026160" w:rsidRPr="00026160" w:rsidRDefault="00026160" w:rsidP="0002616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Identification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Priorit</w:t>
      </w:r>
      <w:proofErr w:type="spellEnd"/>
      <w:r w:rsidRPr="0002616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31B9539" w14:textId="77777777" w:rsidR="00026160" w:rsidRPr="00026160" w:rsidRDefault="00026160">
      <w:pPr>
        <w:rPr>
          <w:lang w:val="en-US"/>
        </w:rPr>
      </w:pPr>
    </w:p>
    <w:sectPr w:rsidR="00026160" w:rsidRPr="0002616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BBE"/>
    <w:multiLevelType w:val="multilevel"/>
    <w:tmpl w:val="658AC0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F14FA"/>
    <w:multiLevelType w:val="multilevel"/>
    <w:tmpl w:val="E6A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64462"/>
    <w:multiLevelType w:val="multilevel"/>
    <w:tmpl w:val="64B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77A9C"/>
    <w:multiLevelType w:val="multilevel"/>
    <w:tmpl w:val="118A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B2724"/>
    <w:multiLevelType w:val="multilevel"/>
    <w:tmpl w:val="71FE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A1EC9"/>
    <w:multiLevelType w:val="multilevel"/>
    <w:tmpl w:val="99223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252692">
    <w:abstractNumId w:val="5"/>
  </w:num>
  <w:num w:numId="2" w16cid:durableId="616333224">
    <w:abstractNumId w:val="3"/>
  </w:num>
  <w:num w:numId="3" w16cid:durableId="770049049">
    <w:abstractNumId w:val="0"/>
  </w:num>
  <w:num w:numId="4" w16cid:durableId="463886334">
    <w:abstractNumId w:val="1"/>
  </w:num>
  <w:num w:numId="5" w16cid:durableId="225721632">
    <w:abstractNumId w:val="4"/>
  </w:num>
  <w:num w:numId="6" w16cid:durableId="1351222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60"/>
    <w:rsid w:val="000131F2"/>
    <w:rsid w:val="00026160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5F67"/>
  <w15:chartTrackingRefBased/>
  <w15:docId w15:val="{965F0742-5E4C-45EE-B57E-C3AAEE10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1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1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1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1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160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160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160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160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160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26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160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261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16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26160"/>
    <w:rPr>
      <w:b/>
      <w:bCs/>
    </w:rPr>
  </w:style>
  <w:style w:type="character" w:styleId="Emphasis">
    <w:name w:val="Emphasis"/>
    <w:basedOn w:val="DefaultParagraphFont"/>
    <w:uiPriority w:val="20"/>
    <w:qFormat/>
    <w:rsid w:val="00026160"/>
    <w:rPr>
      <w:i/>
      <w:iCs/>
    </w:rPr>
  </w:style>
  <w:style w:type="character" w:customStyle="1" w:styleId="relative">
    <w:name w:val="relative"/>
    <w:basedOn w:val="DefaultParagraphFont"/>
    <w:rsid w:val="00026160"/>
  </w:style>
  <w:style w:type="paragraph" w:customStyle="1" w:styleId="not-prose">
    <w:name w:val="not-prose"/>
    <w:basedOn w:val="Normal"/>
    <w:rsid w:val="0002616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2026-01-11T20:17:00Z</dcterms:created>
  <dcterms:modified xsi:type="dcterms:W3CDTF">2026-01-11T20:22:00Z</dcterms:modified>
</cp:coreProperties>
</file>