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469E" w14:textId="4278C1CA" w:rsidR="00AC5231" w:rsidRDefault="00E732A8">
      <w:pPr>
        <w:rPr>
          <w:lang w:val="en-US"/>
        </w:rPr>
      </w:pPr>
      <w:r w:rsidRPr="00E732A8">
        <w:rPr>
          <w:lang w:val="en-US"/>
        </w:rPr>
        <w:t>2024 Resilience Planning Model of Flexible Resources Collaborative under Typhoon Disaster-IEEE</w:t>
      </w:r>
    </w:p>
    <w:p w14:paraId="1E8165E3" w14:textId="77777777" w:rsidR="00E732A8" w:rsidRDefault="00E732A8">
      <w:pPr>
        <w:rPr>
          <w:lang w:val="en-US"/>
        </w:rPr>
      </w:pPr>
    </w:p>
    <w:p w14:paraId="618DC569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(2024)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40A1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Planning Model of Flexible Resources Collaborative under Typhoon Disaster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Xue Wu; Dahai Zhang; Xinxin Zheng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40A1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IEEE International Conference on Energy Internet (ICEI)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IEEE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10.1109/ICEI63732.2024.10917096 </w:t>
      </w:r>
    </w:p>
    <w:p w14:paraId="16DB2B55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 Planning Model …</w:t>
      </w:r>
    </w:p>
    <w:p w14:paraId="711A1BB7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CF66C6">
          <v:rect id="_x0000_i1025" style="width:0;height:1.5pt" o:hralign="center" o:hrstd="t" o:hr="t" fillcolor="#a0a0a0" stroked="f"/>
        </w:pict>
      </w:r>
    </w:p>
    <w:p w14:paraId="11A63265" w14:textId="77777777" w:rsidR="00040A14" w:rsidRPr="00040A14" w:rsidRDefault="00040A14" w:rsidP="00040A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FE80A5C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planeamento de resiliência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elétricos sob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de tufão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em:</w:t>
      </w:r>
    </w:p>
    <w:p w14:paraId="73E231B4" w14:textId="77777777" w:rsidR="00040A14" w:rsidRPr="00040A14" w:rsidRDefault="00040A14" w:rsidP="00040A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explícita do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campo de vento do tufão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pelo modelo de Batts (Eq. 1, pág. 2);</w:t>
      </w:r>
    </w:p>
    <w:p w14:paraId="4799AEC4" w14:textId="77777777" w:rsidR="00040A14" w:rsidRPr="00040A14" w:rsidRDefault="00040A14" w:rsidP="00040A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da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de falha das linhas de transmissão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função do vento, considerando condutores e postes em série (Eq. 2, pág. 2);</w:t>
      </w:r>
    </w:p>
    <w:p w14:paraId="6DD27017" w14:textId="77777777" w:rsidR="00040A14" w:rsidRPr="00040A14" w:rsidRDefault="00040A14" w:rsidP="00040A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entropia da informação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representar a incerteza do estado de falha das linhas e identificar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vulneráveis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(Eqs. 13–15, pág. 3);</w:t>
      </w:r>
    </w:p>
    <w:p w14:paraId="3D2308DC" w14:textId="77777777" w:rsidR="00040A14" w:rsidRPr="00040A14" w:rsidRDefault="00040A14" w:rsidP="00040A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Planeamento cooperativo de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recursos flexíveis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417A5FC" w14:textId="77777777" w:rsidR="00040A14" w:rsidRPr="00040A14" w:rsidRDefault="00040A14" w:rsidP="00040A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de linhas,</w:t>
      </w:r>
    </w:p>
    <w:p w14:paraId="1A4761A8" w14:textId="77777777" w:rsidR="00040A14" w:rsidRPr="00040A14" w:rsidRDefault="00040A14" w:rsidP="00040A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armazenamento de energia (ESS),</w:t>
      </w:r>
    </w:p>
    <w:p w14:paraId="3F7A2AD8" w14:textId="77777777" w:rsidR="00040A14" w:rsidRPr="00040A14" w:rsidRDefault="00040A14" w:rsidP="00040A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eólica,</w:t>
      </w:r>
    </w:p>
    <w:p w14:paraId="4CCA7EE1" w14:textId="77777777" w:rsidR="00040A14" w:rsidRPr="00040A14" w:rsidRDefault="00040A14" w:rsidP="00040A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fotovoltaica;</w:t>
      </w:r>
    </w:p>
    <w:p w14:paraId="0F72527C" w14:textId="77777777" w:rsidR="00040A14" w:rsidRPr="00040A14" w:rsidRDefault="00040A14" w:rsidP="00040A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robusta em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estágios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modelo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Defesa–Ataque–Defesa (DAD)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solução por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Column and Constraint Generation (C&amp;CG)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pág. 2). </w:t>
      </w:r>
    </w:p>
    <w:p w14:paraId="2FD3233C" w14:textId="77777777" w:rsidR="00040A14" w:rsidRPr="00040A14" w:rsidRDefault="00040A14" w:rsidP="00040A1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 Planning Model …</w:t>
      </w:r>
    </w:p>
    <w:p w14:paraId="51FB7383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de transmissão sob eventos climáticos extremos (tufões)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integração de: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evento climático → falha probabilística das linhas → planeamento de reforço e recursos → recuperação.</w:t>
      </w:r>
    </w:p>
    <w:p w14:paraId="368B43B4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A6A1A1">
          <v:rect id="_x0000_i1026" style="width:0;height:1.5pt" o:hralign="center" o:hrstd="t" o:hr="t" fillcolor="#a0a0a0" stroked="f"/>
        </w:pict>
      </w:r>
    </w:p>
    <w:p w14:paraId="17B12570" w14:textId="77777777" w:rsidR="00040A14" w:rsidRPr="00040A14" w:rsidRDefault="00040A14" w:rsidP="00040A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01F5F363" w14:textId="77777777" w:rsidR="00040A14" w:rsidRPr="00040A14" w:rsidRDefault="00040A14" w:rsidP="00040A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climática → falha de linha</w:t>
      </w:r>
    </w:p>
    <w:p w14:paraId="5386CB32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usa:</w:t>
      </w:r>
    </w:p>
    <w:p w14:paraId="752E19C6" w14:textId="77777777" w:rsidR="00040A14" w:rsidRPr="00040A14" w:rsidRDefault="00040A14" w:rsidP="00040A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Modelo de vento de tufão de Batts para obter a velocidade do vento em função da posição relativa ao olho do tufão (Eq. 1, pág. 2);</w:t>
      </w:r>
    </w:p>
    <w:p w14:paraId="049FC542" w14:textId="77777777" w:rsidR="00040A14" w:rsidRPr="00040A14" w:rsidRDefault="00040A14" w:rsidP="00040A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taxa de falha da linha considerando:</w:t>
      </w:r>
    </w:p>
    <w:p w14:paraId="005F2011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(s)=1-(1-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(s)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(s)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C5DCA4C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526A034" w14:textId="77777777" w:rsidR="00040A14" w:rsidRPr="00040A14" w:rsidRDefault="00040A14" w:rsidP="00040A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</m:oMath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taxa de falha do condutor,</w:t>
      </w:r>
    </w:p>
    <w:p w14:paraId="05DC9D8C" w14:textId="77777777" w:rsidR="00040A14" w:rsidRPr="00040A14" w:rsidRDefault="00040A14" w:rsidP="00040A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sub>
        </m:sSub>
      </m:oMath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taxa de falha do poste,</w:t>
      </w:r>
    </w:p>
    <w:p w14:paraId="7B94AF3D" w14:textId="77777777" w:rsidR="00040A14" w:rsidRPr="00040A14" w:rsidRDefault="00040A14" w:rsidP="00040A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quantidades de condutores e postes do ramo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ij</m:t>
        </m:r>
      </m:oMath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(Eq. 2, pág. 2) </w:t>
      </w:r>
    </w:p>
    <w:p w14:paraId="1213BDE2" w14:textId="77777777" w:rsidR="00040A14" w:rsidRPr="00040A14" w:rsidRDefault="00040A14" w:rsidP="00040A1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 Planning Model …</w:t>
      </w:r>
    </w:p>
    <w:p w14:paraId="1A68515C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cria um elo direto: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extremo → taxa de falha física da linha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05EA20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93864F">
          <v:rect id="_x0000_i1027" style="width:0;height:1.5pt" o:hralign="center" o:hrstd="t" o:hr="t" fillcolor="#a0a0a0" stroked="f"/>
        </w:pict>
      </w:r>
    </w:p>
    <w:p w14:paraId="10F38DD7" w14:textId="77777777" w:rsidR="00040A14" w:rsidRPr="00040A14" w:rsidRDefault="00040A14" w:rsidP="00040A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Incerteza via entropia da informação</w:t>
      </w:r>
    </w:p>
    <w:p w14:paraId="6A953E21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incerteza do estado de falha é descrita por uma restrição baseada em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entropia da informação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A7D6DB3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))≤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Γ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8E65394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13, pág. 3) </w:t>
      </w:r>
    </w:p>
    <w:p w14:paraId="77212FCD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 Planning Model …</w:t>
      </w:r>
    </w:p>
    <w:p w14:paraId="4F33BFE9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ponto metodológico forte, pois:</w:t>
      </w:r>
    </w:p>
    <w:p w14:paraId="0F5631FA" w14:textId="77777777" w:rsidR="00040A14" w:rsidRPr="00040A14" w:rsidRDefault="00040A14" w:rsidP="00040A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 Monte Carlo pesado;</w:t>
      </w:r>
    </w:p>
    <w:p w14:paraId="78C7FF9C" w14:textId="77777777" w:rsidR="00040A14" w:rsidRPr="00040A14" w:rsidRDefault="00040A14" w:rsidP="00040A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 um conjunto robusto de cenários plausíveis de falha.</w:t>
      </w:r>
    </w:p>
    <w:p w14:paraId="2BA601ED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948952">
          <v:rect id="_x0000_i1028" style="width:0;height:1.5pt" o:hralign="center" o:hrstd="t" o:hr="t" fillcolor="#a0a0a0" stroked="f"/>
        </w:pict>
      </w:r>
    </w:p>
    <w:p w14:paraId="1AA4BD7D" w14:textId="77777777" w:rsidR="00040A14" w:rsidRPr="00040A14" w:rsidRDefault="00040A14" w:rsidP="00040A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Modelo Defesa–Ataque–Defesa (DAD)</w:t>
      </w:r>
    </w:p>
    <w:p w14:paraId="3D061676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clara:</w:t>
      </w:r>
    </w:p>
    <w:p w14:paraId="2D989398" w14:textId="77777777" w:rsidR="00040A14" w:rsidRPr="00040A14" w:rsidRDefault="00040A14" w:rsidP="00040A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1ª fase (Defesa pré-desastre):</w:t>
      </w:r>
    </w:p>
    <w:p w14:paraId="5163092E" w14:textId="77777777" w:rsidR="00040A14" w:rsidRPr="00040A14" w:rsidRDefault="00040A14" w:rsidP="00040A1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de linhas,</w:t>
      </w:r>
    </w:p>
    <w:p w14:paraId="5F64172E" w14:textId="77777777" w:rsidR="00040A14" w:rsidRPr="00040A14" w:rsidRDefault="00040A14" w:rsidP="00040A1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instalação de ESS, PV e eólica,</w:t>
      </w:r>
    </w:p>
    <w:p w14:paraId="1DDA2803" w14:textId="77777777" w:rsidR="00040A14" w:rsidRPr="00040A14" w:rsidRDefault="00040A14" w:rsidP="00040A1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minimização de custo de investimento.</w:t>
      </w:r>
    </w:p>
    <w:p w14:paraId="553DCEEF" w14:textId="77777777" w:rsidR="00040A14" w:rsidRPr="00040A14" w:rsidRDefault="00040A14" w:rsidP="00040A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2ª fase:</w:t>
      </w:r>
    </w:p>
    <w:p w14:paraId="3F388A7B" w14:textId="77777777" w:rsidR="00040A14" w:rsidRPr="00040A14" w:rsidRDefault="00040A14" w:rsidP="00040A1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camada “Ataque”: escolha do pior cenário de falhas;</w:t>
      </w:r>
    </w:p>
    <w:p w14:paraId="77255A7C" w14:textId="77777777" w:rsidR="00040A14" w:rsidRPr="00040A14" w:rsidRDefault="00040A14" w:rsidP="00040A1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camada “Defesa”: despacho ótimo, recuperação, manutenção, minimizando custo de carga perdida e operação.</w:t>
      </w:r>
    </w:p>
    <w:p w14:paraId="6F0D4406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Descrito na Fig. 1 (pág. 2) e nas Eqs. (</w:t>
      </w:r>
      <w:proofErr w:type="gramStart"/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23)–</w:t>
      </w:r>
      <w:proofErr w:type="gramEnd"/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(29) (págs. 4–5). </w:t>
      </w:r>
    </w:p>
    <w:p w14:paraId="6AF7997B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 Planning Model …</w:t>
      </w:r>
    </w:p>
    <w:p w14:paraId="37C7F4E7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64FC1D">
          <v:rect id="_x0000_i1029" style="width:0;height:1.5pt" o:hralign="center" o:hrstd="t" o:hr="t" fillcolor="#a0a0a0" stroked="f"/>
        </w:pict>
      </w:r>
    </w:p>
    <w:p w14:paraId="0D0B0715" w14:textId="77777777" w:rsidR="00040A14" w:rsidRPr="00040A14" w:rsidRDefault="00040A14" w:rsidP="00040A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Recuperação física com equipas de manutenção</w:t>
      </w:r>
    </w:p>
    <w:p w14:paraId="7B1B56D7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inclui:</w:t>
      </w:r>
    </w:p>
    <w:p w14:paraId="62DF685F" w14:textId="77777777" w:rsidR="00040A14" w:rsidRPr="00040A14" w:rsidRDefault="00040A14" w:rsidP="00040A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posição geográfica da equipa de manutenção;</w:t>
      </w:r>
    </w:p>
    <w:p w14:paraId="2FB3DE80" w14:textId="77777777" w:rsidR="00040A14" w:rsidRPr="00040A14" w:rsidRDefault="00040A14" w:rsidP="00040A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de deslocação (60 km/h);</w:t>
      </w:r>
    </w:p>
    <w:p w14:paraId="226BB41C" w14:textId="77777777" w:rsidR="00040A14" w:rsidRPr="00040A14" w:rsidRDefault="00040A14" w:rsidP="00040A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médio de reparo por linha (3 h);</w:t>
      </w:r>
    </w:p>
    <w:p w14:paraId="18E96752" w14:textId="77777777" w:rsidR="00040A14" w:rsidRPr="00040A14" w:rsidRDefault="00040A14" w:rsidP="00040A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cronograma explícito de recuperação de cada ramo (Tabela II, pág. 6). </w:t>
      </w:r>
    </w:p>
    <w:p w14:paraId="4D2D83C3" w14:textId="77777777" w:rsidR="00040A14" w:rsidRPr="00040A14" w:rsidRDefault="00040A14" w:rsidP="00040A1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 Planning Model …</w:t>
      </w:r>
    </w:p>
    <w:p w14:paraId="6624BAE9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introduz explicitamente: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→ tempo de reparo → curva de recuperação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espírito da sua tese.</w:t>
      </w:r>
    </w:p>
    <w:p w14:paraId="2A236C24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289889">
          <v:rect id="_x0000_i1030" style="width:0;height:1.5pt" o:hralign="center" o:hrstd="t" o:hr="t" fillcolor="#a0a0a0" stroked="f"/>
        </w:pict>
      </w:r>
    </w:p>
    <w:p w14:paraId="2BF85F58" w14:textId="77777777" w:rsidR="00040A14" w:rsidRPr="00040A14" w:rsidRDefault="00040A14" w:rsidP="00040A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Evidência experimental sólida</w:t>
      </w:r>
    </w:p>
    <w:p w14:paraId="726E8AA2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sistema IEEE 30 nós:</w:t>
      </w:r>
    </w:p>
    <w:p w14:paraId="15C956A0" w14:textId="77777777" w:rsidR="00040A14" w:rsidRPr="00040A14" w:rsidRDefault="00040A14" w:rsidP="00040A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Sem planeamento → até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 ramos falhados simultaneamente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6, pág. 6);</w:t>
      </w:r>
    </w:p>
    <w:p w14:paraId="680CEFA5" w14:textId="77777777" w:rsidR="00040A14" w:rsidRPr="00040A14" w:rsidRDefault="00040A14" w:rsidP="00040A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reforço + recursos flexíveis → número de falhas reduzido e menor perda de carga (Fig. 7, pág. 6);</w:t>
      </w:r>
    </w:p>
    <w:p w14:paraId="53527DA2" w14:textId="77777777" w:rsidR="00040A14" w:rsidRPr="00040A14" w:rsidRDefault="00040A14" w:rsidP="00040A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carga ao longo do tempo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 forte redução no esquema completo (Fig. 10, pág. 6). </w:t>
      </w:r>
    </w:p>
    <w:p w14:paraId="1EAA90E3" w14:textId="77777777" w:rsidR="00040A14" w:rsidRPr="00040A14" w:rsidRDefault="00040A14" w:rsidP="00040A1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 Planning Model …</w:t>
      </w:r>
    </w:p>
    <w:p w14:paraId="10851090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(Tabela III, pág. 7):</w:t>
      </w:r>
    </w:p>
    <w:p w14:paraId="5BD90B59" w14:textId="77777777" w:rsidR="00040A14" w:rsidRPr="00040A14" w:rsidRDefault="00040A14" w:rsidP="00040A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 de carga cai de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8799 → 195.5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(×10⁴ yuan);</w:t>
      </w:r>
    </w:p>
    <w:p w14:paraId="30954786" w14:textId="77777777" w:rsidR="00040A14" w:rsidRPr="00040A14" w:rsidRDefault="00040A14" w:rsidP="00040A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total cai de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11577 → 2952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(×10⁴ yuan). </w:t>
      </w:r>
    </w:p>
    <w:p w14:paraId="69E5B2A0" w14:textId="77777777" w:rsidR="00040A14" w:rsidRPr="00040A14" w:rsidRDefault="00040A14" w:rsidP="00040A1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 Planning Model …</w:t>
      </w:r>
    </w:p>
    <w:p w14:paraId="2C0280E3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709BDC">
          <v:rect id="_x0000_i1031" style="width:0;height:1.5pt" o:hralign="center" o:hrstd="t" o:hr="t" fillcolor="#a0a0a0" stroked="f"/>
        </w:pict>
      </w:r>
    </w:p>
    <w:p w14:paraId="7717595B" w14:textId="77777777" w:rsidR="00040A14" w:rsidRPr="00040A14" w:rsidRDefault="00040A14" w:rsidP="00040A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ao seu foco específico em LT</w:t>
      </w:r>
    </w:p>
    <w:p w14:paraId="55CBF08B" w14:textId="77777777" w:rsidR="00040A14" w:rsidRPr="00040A14" w:rsidRDefault="00040A14" w:rsidP="00040A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relativamente pequeno (IEEE 30 nós).</w:t>
      </w:r>
    </w:p>
    <w:p w14:paraId="0BD7E156" w14:textId="77777777" w:rsidR="00040A14" w:rsidRPr="00040A14" w:rsidRDefault="00040A14" w:rsidP="00040A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modelo de falha da linha ainda é probabilístico agregado:</w:t>
      </w:r>
    </w:p>
    <w:p w14:paraId="73EC55BD" w14:textId="77777777" w:rsidR="00040A14" w:rsidRPr="00040A14" w:rsidRDefault="00040A14" w:rsidP="00040A14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 fragilidade estrutural explícitas (vento vs colapso de torre);</w:t>
      </w:r>
    </w:p>
    <w:p w14:paraId="4CA22806" w14:textId="77777777" w:rsidR="00040A14" w:rsidRPr="00040A14" w:rsidRDefault="00040A14" w:rsidP="00040A14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e condutores são tratados estatisticamente.</w:t>
      </w:r>
    </w:p>
    <w:p w14:paraId="03E64B78" w14:textId="77777777" w:rsidR="00040A14" w:rsidRPr="00040A14" w:rsidRDefault="00040A14" w:rsidP="00040A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ênfase está tanto em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sistémico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quanto na linha individual.</w:t>
      </w:r>
    </w:p>
    <w:p w14:paraId="34E9F38A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assim, o elo físico clima → falha → reparo existe claramente.</w:t>
      </w:r>
    </w:p>
    <w:p w14:paraId="0E30D0C6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180377">
          <v:rect id="_x0000_i1032" style="width:0;height:1.5pt" o:hralign="center" o:hrstd="t" o:hr="t" fillcolor="#a0a0a0" stroked="f"/>
        </w:pict>
      </w:r>
    </w:p>
    <w:p w14:paraId="01C5F507" w14:textId="77777777" w:rsidR="00040A14" w:rsidRPr="00040A14" w:rsidRDefault="00040A14" w:rsidP="00040A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910"/>
      </w:tblGrid>
      <w:tr w:rsidR="00040A14" w:rsidRPr="00040A14" w14:paraId="2C27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5D0C1" w14:textId="77777777" w:rsidR="00040A14" w:rsidRPr="00040A14" w:rsidRDefault="00040A14" w:rsidP="00040A1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1365355" w14:textId="77777777" w:rsidR="00040A14" w:rsidRPr="00040A14" w:rsidRDefault="00040A14" w:rsidP="00040A1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40A14" w:rsidRPr="00040A14" w14:paraId="6F4C6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2B94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(tufão)</w:t>
            </w:r>
          </w:p>
        </w:tc>
        <w:tc>
          <w:tcPr>
            <w:tcW w:w="0" w:type="auto"/>
            <w:vAlign w:val="center"/>
            <w:hideMark/>
          </w:tcPr>
          <w:p w14:paraId="72818EB3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40A14" w:rsidRPr="00040A14" w14:paraId="1AF29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D886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probabilística de linhas</w:t>
            </w:r>
          </w:p>
        </w:tc>
        <w:tc>
          <w:tcPr>
            <w:tcW w:w="0" w:type="auto"/>
            <w:vAlign w:val="center"/>
            <w:hideMark/>
          </w:tcPr>
          <w:p w14:paraId="568A83E4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40A14" w:rsidRPr="00040A14" w14:paraId="27FB4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6170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Incerteza robusta (entropia)</w:t>
            </w:r>
          </w:p>
        </w:tc>
        <w:tc>
          <w:tcPr>
            <w:tcW w:w="0" w:type="auto"/>
            <w:vAlign w:val="center"/>
            <w:hideMark/>
          </w:tcPr>
          <w:p w14:paraId="6F72F3AE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40A14" w:rsidRPr="00040A14" w14:paraId="16B4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FD88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Reforço físico de linhas</w:t>
            </w:r>
          </w:p>
        </w:tc>
        <w:tc>
          <w:tcPr>
            <w:tcW w:w="0" w:type="auto"/>
            <w:vAlign w:val="center"/>
            <w:hideMark/>
          </w:tcPr>
          <w:p w14:paraId="498537A7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40A14" w:rsidRPr="00040A14" w14:paraId="024E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66C3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 com manutenção</w:t>
            </w:r>
          </w:p>
        </w:tc>
        <w:tc>
          <w:tcPr>
            <w:tcW w:w="0" w:type="auto"/>
            <w:vAlign w:val="center"/>
            <w:hideMark/>
          </w:tcPr>
          <w:p w14:paraId="50C72121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40A14" w:rsidRPr="00040A14" w14:paraId="1591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26D6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detalhada de torres</w:t>
            </w:r>
          </w:p>
        </w:tc>
        <w:tc>
          <w:tcPr>
            <w:tcW w:w="0" w:type="auto"/>
            <w:vAlign w:val="center"/>
            <w:hideMark/>
          </w:tcPr>
          <w:p w14:paraId="26CCB038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40A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(implícita, não mecânica)</w:t>
            </w:r>
          </w:p>
        </w:tc>
      </w:tr>
      <w:tr w:rsidR="00040A14" w:rsidRPr="00040A14" w14:paraId="593D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07D3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das LT</w:t>
            </w:r>
          </w:p>
        </w:tc>
        <w:tc>
          <w:tcPr>
            <w:tcW w:w="0" w:type="auto"/>
            <w:vAlign w:val="center"/>
            <w:hideMark/>
          </w:tcPr>
          <w:p w14:paraId="1D26169A" w14:textId="77777777" w:rsidR="00040A14" w:rsidRPr="00040A14" w:rsidRDefault="00040A14" w:rsidP="00040A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0A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26C8AAA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40A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0910748D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49BD15">
          <v:rect id="_x0000_i1033" style="width:0;height:1.5pt" o:hralign="center" o:hrstd="t" o:hr="t" fillcolor="#a0a0a0" stroked="f"/>
        </w:pict>
      </w:r>
    </w:p>
    <w:p w14:paraId="57540210" w14:textId="77777777" w:rsidR="00040A14" w:rsidRPr="00040A14" w:rsidRDefault="00040A14" w:rsidP="00040A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CE00C88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4A4DACC0" w14:textId="77777777" w:rsidR="00040A14" w:rsidRPr="00040A14" w:rsidRDefault="00040A14" w:rsidP="00040A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20E91872" w14:textId="77777777" w:rsidR="00040A14" w:rsidRPr="00040A14" w:rsidRDefault="00040A14" w:rsidP="00040A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de transmissão sob tufões;</w:t>
      </w:r>
    </w:p>
    <w:p w14:paraId="295B86F6" w14:textId="77777777" w:rsidR="00040A14" w:rsidRPr="00040A14" w:rsidRDefault="00040A14" w:rsidP="00040A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planeamento robusto;</w:t>
      </w:r>
    </w:p>
    <w:p w14:paraId="37555207" w14:textId="77777777" w:rsidR="00040A14" w:rsidRPr="00040A14" w:rsidRDefault="00040A14" w:rsidP="00040A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F389508" w14:textId="77777777" w:rsidR="00040A14" w:rsidRPr="00040A14" w:rsidRDefault="00040A14" w:rsidP="00040A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DAD,</w:t>
      </w:r>
    </w:p>
    <w:p w14:paraId="18BA407B" w14:textId="77777777" w:rsidR="00040A14" w:rsidRPr="00040A14" w:rsidRDefault="00040A14" w:rsidP="00040A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C&amp;CG,</w:t>
      </w:r>
    </w:p>
    <w:p w14:paraId="3C4869BA" w14:textId="77777777" w:rsidR="00040A14" w:rsidRPr="00040A14" w:rsidRDefault="00040A14" w:rsidP="00040A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clima → falha → recuperação;</w:t>
      </w:r>
    </w:p>
    <w:p w14:paraId="410CE381" w14:textId="77777777" w:rsidR="00040A14" w:rsidRPr="00040A14" w:rsidRDefault="00040A14" w:rsidP="00040A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Construção do seu índice de resiliência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pois já trabalha com:</w:t>
      </w:r>
    </w:p>
    <w:p w14:paraId="2680AB06" w14:textId="77777777" w:rsidR="00040A14" w:rsidRPr="00040A14" w:rsidRDefault="00040A14" w:rsidP="00040A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probabilística,</w:t>
      </w:r>
    </w:p>
    <w:p w14:paraId="312DD2E2" w14:textId="77777777" w:rsidR="00040A14" w:rsidRPr="00040A14" w:rsidRDefault="00040A14" w:rsidP="00040A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reparo,</w:t>
      </w:r>
    </w:p>
    <w:p w14:paraId="45FFE970" w14:textId="77777777" w:rsidR="00040A14" w:rsidRPr="00040A14" w:rsidRDefault="00040A14" w:rsidP="00040A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carga ao longo do tempo.</w:t>
      </w:r>
    </w:p>
    <w:p w14:paraId="05AB5684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E781BB">
          <v:rect id="_x0000_i1034" style="width:0;height:1.5pt" o:hralign="center" o:hrstd="t" o:hr="t" fillcolor="#a0a0a0" stroked="f"/>
        </w:pict>
      </w:r>
    </w:p>
    <w:p w14:paraId="1922BDDA" w14:textId="77777777" w:rsidR="00040A14" w:rsidRPr="00040A14" w:rsidRDefault="00040A14" w:rsidP="00040A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4DA1B00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nuclear da tese)</w:t>
      </w:r>
    </w:p>
    <w:p w14:paraId="1E4AC1CB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</w:p>
    <w:p w14:paraId="34F946B6" w14:textId="77777777" w:rsidR="00040A14" w:rsidRPr="00040A14" w:rsidRDefault="00040A14" w:rsidP="00040A1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 diretamente evento climático extremo → falha de linhas → reforço físico → recuperação temporal;</w:t>
      </w:r>
    </w:p>
    <w:p w14:paraId="5A1A9646" w14:textId="77777777" w:rsidR="00040A14" w:rsidRPr="00040A14" w:rsidRDefault="00040A14" w:rsidP="00040A1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modelos matemáticos robustos e replicáveis;</w:t>
      </w:r>
    </w:p>
    <w:p w14:paraId="4903D352" w14:textId="77777777" w:rsidR="00040A14" w:rsidRPr="00040A14" w:rsidRDefault="00040A14" w:rsidP="00040A1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base conceitual para o seu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CECD1A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68B821">
          <v:rect id="_x0000_i1035" style="width:0;height:1.5pt" o:hralign="center" o:hrstd="t" o:hr="t" fillcolor="#a0a0a0" stroked="f"/>
        </w:pict>
      </w:r>
    </w:p>
    <w:p w14:paraId="429F2FE4" w14:textId="77777777" w:rsidR="00040A14" w:rsidRPr="00040A14" w:rsidRDefault="00040A14" w:rsidP="00040A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6FFD28AC" w14:textId="77777777" w:rsidR="00040A14" w:rsidRPr="00040A14" w:rsidRDefault="00040A14" w:rsidP="00040A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5E0E4F6F" w14:textId="77777777" w:rsidR="00040A14" w:rsidRPr="00040A14" w:rsidRDefault="00040A14" w:rsidP="00040A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robusto da resiliência de sistemas de transmissão sob tufões com reforço de linhas e recursos flexíveis</w:t>
      </w:r>
    </w:p>
    <w:p w14:paraId="660A4664" w14:textId="77777777" w:rsidR="00040A14" w:rsidRPr="00040A14" w:rsidRDefault="00040A14" w:rsidP="00040A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33B47D7" w14:textId="77777777" w:rsidR="00040A14" w:rsidRPr="00040A14" w:rsidRDefault="00040A14" w:rsidP="00040A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43FD0F6" w14:textId="77777777" w:rsidR="00040A14" w:rsidRPr="00040A14" w:rsidRDefault="00040A14" w:rsidP="00040A1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F401648" w14:textId="77777777" w:rsidR="00040A14" w:rsidRPr="00040A14" w:rsidRDefault="00040A14" w:rsidP="00040A1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8A3825F" w14:textId="77777777" w:rsidR="00040A14" w:rsidRPr="00040A14" w:rsidRDefault="00040A14" w:rsidP="00040A1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3CD7BE3" w14:textId="77777777" w:rsidR="00040A14" w:rsidRPr="00040A14" w:rsidRDefault="00040A14" w:rsidP="00040A1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D16733A" w14:textId="77777777" w:rsidR="00040A14" w:rsidRPr="00040A14" w:rsidRDefault="00040A14" w:rsidP="00040A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40A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114F6804" w14:textId="77777777" w:rsidR="00040A14" w:rsidRPr="00040A14" w:rsidRDefault="00040A14" w:rsidP="00040A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6CA8A0">
          <v:rect id="_x0000_i1036" style="width:0;height:1.5pt" o:hralign="center" o:hrstd="t" o:hr="t" fillcolor="#a0a0a0" stroked="f"/>
        </w:pict>
      </w:r>
    </w:p>
    <w:p w14:paraId="2E562351" w14:textId="77777777" w:rsidR="00040A14" w:rsidRPr="00040A14" w:rsidRDefault="00040A14" w:rsidP="00040A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040A1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(formato IEEE)</w:t>
      </w:r>
    </w:p>
    <w:p w14:paraId="3995A74E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X. Wu, D. Zhang, and X. Zheng, “Resilience Planning Model of Flexible Resources Collaborative under Typhoon Disaster,” in </w:t>
      </w:r>
      <w:r w:rsidRPr="00040A1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8th IEEE Int. Conf. on Energy Internet (ICEI)</w:t>
      </w: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2024, pp. 373–379, doi: 10.1109/ICEI63732.2024.10917096. </w:t>
      </w:r>
    </w:p>
    <w:p w14:paraId="3D401CC0" w14:textId="77777777" w:rsidR="00040A14" w:rsidRPr="00040A14" w:rsidRDefault="00040A14" w:rsidP="00040A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40A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 Planning Model …</w:t>
      </w:r>
    </w:p>
    <w:p w14:paraId="4536E0C7" w14:textId="77777777" w:rsidR="00E732A8" w:rsidRPr="00E732A8" w:rsidRDefault="00E732A8">
      <w:pPr>
        <w:rPr>
          <w:lang w:val="en-US"/>
        </w:rPr>
      </w:pPr>
    </w:p>
    <w:sectPr w:rsidR="00E732A8" w:rsidRPr="00E732A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03A6"/>
    <w:multiLevelType w:val="multilevel"/>
    <w:tmpl w:val="283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49C1"/>
    <w:multiLevelType w:val="multilevel"/>
    <w:tmpl w:val="687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302F0"/>
    <w:multiLevelType w:val="multilevel"/>
    <w:tmpl w:val="C65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432D9"/>
    <w:multiLevelType w:val="multilevel"/>
    <w:tmpl w:val="E15A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7102C"/>
    <w:multiLevelType w:val="multilevel"/>
    <w:tmpl w:val="525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537DF"/>
    <w:multiLevelType w:val="multilevel"/>
    <w:tmpl w:val="2BAA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64D2C"/>
    <w:multiLevelType w:val="multilevel"/>
    <w:tmpl w:val="959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11C40"/>
    <w:multiLevelType w:val="multilevel"/>
    <w:tmpl w:val="F10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F5291"/>
    <w:multiLevelType w:val="multilevel"/>
    <w:tmpl w:val="767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63C97"/>
    <w:multiLevelType w:val="multilevel"/>
    <w:tmpl w:val="7CF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C00CC"/>
    <w:multiLevelType w:val="multilevel"/>
    <w:tmpl w:val="891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F761E"/>
    <w:multiLevelType w:val="multilevel"/>
    <w:tmpl w:val="434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977371">
    <w:abstractNumId w:val="7"/>
  </w:num>
  <w:num w:numId="2" w16cid:durableId="125660361">
    <w:abstractNumId w:val="8"/>
  </w:num>
  <w:num w:numId="3" w16cid:durableId="539901628">
    <w:abstractNumId w:val="6"/>
  </w:num>
  <w:num w:numId="4" w16cid:durableId="1278490998">
    <w:abstractNumId w:val="2"/>
  </w:num>
  <w:num w:numId="5" w16cid:durableId="482552680">
    <w:abstractNumId w:val="3"/>
  </w:num>
  <w:num w:numId="6" w16cid:durableId="414281918">
    <w:abstractNumId w:val="9"/>
  </w:num>
  <w:num w:numId="7" w16cid:durableId="519390312">
    <w:abstractNumId w:val="10"/>
  </w:num>
  <w:num w:numId="8" w16cid:durableId="2047558261">
    <w:abstractNumId w:val="0"/>
  </w:num>
  <w:num w:numId="9" w16cid:durableId="1426922614">
    <w:abstractNumId w:val="5"/>
  </w:num>
  <w:num w:numId="10" w16cid:durableId="1767117804">
    <w:abstractNumId w:val="1"/>
  </w:num>
  <w:num w:numId="11" w16cid:durableId="1506245588">
    <w:abstractNumId w:val="11"/>
  </w:num>
  <w:num w:numId="12" w16cid:durableId="2015768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A8"/>
    <w:rsid w:val="000131F2"/>
    <w:rsid w:val="00040A14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732A8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54876"/>
  <w15:chartTrackingRefBased/>
  <w15:docId w15:val="{1116917D-AF54-4E33-B938-2CD3B0C7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2A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2A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2A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2A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2A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7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2A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732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0A1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40A14"/>
    <w:rPr>
      <w:b/>
      <w:bCs/>
    </w:rPr>
  </w:style>
  <w:style w:type="character" w:styleId="Emphasis">
    <w:name w:val="Emphasis"/>
    <w:basedOn w:val="DefaultParagraphFont"/>
    <w:uiPriority w:val="20"/>
    <w:qFormat/>
    <w:rsid w:val="00040A14"/>
    <w:rPr>
      <w:i/>
      <w:iCs/>
    </w:rPr>
  </w:style>
  <w:style w:type="character" w:customStyle="1" w:styleId="relative">
    <w:name w:val="relative"/>
    <w:basedOn w:val="DefaultParagraphFont"/>
    <w:rsid w:val="00040A14"/>
  </w:style>
  <w:style w:type="paragraph" w:customStyle="1" w:styleId="not-prose">
    <w:name w:val="not-prose"/>
    <w:basedOn w:val="Normal"/>
    <w:rsid w:val="00040A1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933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2026-01-11T22:54:00Z</dcterms:created>
  <dcterms:modified xsi:type="dcterms:W3CDTF">2026-01-11T22:55:00Z</dcterms:modified>
</cp:coreProperties>
</file>