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CFB9" w14:textId="30FC902A" w:rsidR="00AC5231" w:rsidRDefault="00B14D86">
      <w:pPr>
        <w:rPr>
          <w:lang w:val="en-US"/>
        </w:rPr>
      </w:pPr>
      <w:r w:rsidRPr="00B14D86">
        <w:rPr>
          <w:lang w:val="en-US"/>
        </w:rPr>
        <w:t>2025 A comprehensive review on resilience definitions, frameworks, metrics, and enhancement strategies in electrical distribution systems-ELSEVIER</w:t>
      </w:r>
    </w:p>
    <w:p w14:paraId="2AF62D69" w14:textId="77777777" w:rsidR="00B14D86" w:rsidRDefault="00B14D86">
      <w:pPr>
        <w:rPr>
          <w:lang w:val="en-US"/>
        </w:rPr>
      </w:pPr>
    </w:p>
    <w:p w14:paraId="4D832CF3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 técnica resumida — (2025)</w:t>
      </w:r>
    </w:p>
    <w:p w14:paraId="3C6038D9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 comprehensive review on resilience definitions, frameworks, metrics, and enhancement strategies in electrical distribution systems</w:t>
      </w: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 </w:t>
      </w:r>
    </w:p>
    <w:p w14:paraId="5271BD1D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A comprehensive review on …</w:t>
      </w:r>
    </w:p>
    <w:p w14:paraId="7070EB08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Autores: K. Victor Sam Moses Babu; Divyanshi Dwivedi; Pratyush Chakraborty; Pradeep Kumar Yemula; Mayukha Pal</w:t>
      </w: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EE2AE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Energy</w:t>
      </w: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394, 2025, Art. 126141</w:t>
      </w: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10.1016/j.apenergy.2025.126141 </w:t>
      </w:r>
    </w:p>
    <w:p w14:paraId="36F58885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04831E7A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EA9540">
          <v:rect id="_x0000_i1025" style="width:0;height:1.5pt" o:hralign="center" o:hrstd="t" o:hr="t" fillcolor="#a0a0a0" stroked="f"/>
        </w:pict>
      </w:r>
    </w:p>
    <w:p w14:paraId="3534DEBA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48514615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de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 de alto nível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voltado para:</w:t>
      </w:r>
    </w:p>
    <w:p w14:paraId="70FA7C87" w14:textId="77777777" w:rsidR="00EE2AE6" w:rsidRPr="00EE2AE6" w:rsidRDefault="00EE2AE6" w:rsidP="00EE2A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formais de resiliência,</w:t>
      </w:r>
    </w:p>
    <w:p w14:paraId="54882C45" w14:textId="77777777" w:rsidR="00EE2AE6" w:rsidRPr="00EE2AE6" w:rsidRDefault="00EE2AE6" w:rsidP="00EE2A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enquadramentos conceituais (frameworks),</w:t>
      </w:r>
    </w:p>
    <w:p w14:paraId="07173C32" w14:textId="77777777" w:rsidR="00EE2AE6" w:rsidRPr="00EE2AE6" w:rsidRDefault="00EE2AE6" w:rsidP="00EE2A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resiliência,</w:t>
      </w:r>
    </w:p>
    <w:p w14:paraId="216CF793" w14:textId="77777777" w:rsidR="00EE2AE6" w:rsidRPr="00EE2AE6" w:rsidRDefault="00EE2AE6" w:rsidP="00EE2A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melhoria de resiliência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aplicadas especificamente a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 (EDS)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6C6278B9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18BE4580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modelagem física nem de análise estrutural de linhas; é um artigo de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conceitual e metodológica da resiliência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7CEF61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6CA114">
          <v:rect id="_x0000_i1026" style="width:0;height:1.5pt" o:hralign="center" o:hrstd="t" o:hr="t" fillcolor="#a0a0a0" stroked="f"/>
        </w:pict>
      </w:r>
    </w:p>
    <w:p w14:paraId="11F838B4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AA40A68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principal é:</w:t>
      </w:r>
    </w:p>
    <w:p w14:paraId="023040C1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organizar, comparar e sistematizar o conceito de resiliência em sistemas elétricos, distinguindo-o claramente de confiabilidade, e mapear como a literatura tem tratado métricas, frameworks e estratégias práticas de reforço da resiliência.</w:t>
      </w:r>
    </w:p>
    <w:p w14:paraId="1030E117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estabelece:</w:t>
      </w:r>
    </w:p>
    <w:p w14:paraId="3E37F2F2" w14:textId="77777777" w:rsidR="00EE2AE6" w:rsidRPr="00EE2AE6" w:rsidRDefault="00EE2AE6" w:rsidP="00EE2A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distinção formal entre </w:t>
      </w:r>
      <w:r w:rsidRPr="00EE2AE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E2AE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3);</w:t>
      </w:r>
    </w:p>
    <w:p w14:paraId="036FF241" w14:textId="77777777" w:rsidR="00EE2AE6" w:rsidRPr="00EE2AE6" w:rsidRDefault="00EE2AE6" w:rsidP="00EE2A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conceito de eventos HILP (High Impact, Low Probability);</w:t>
      </w:r>
    </w:p>
    <w:p w14:paraId="78AD4DE6" w14:textId="77777777" w:rsidR="00EE2AE6" w:rsidRPr="00EE2AE6" w:rsidRDefault="00EE2AE6" w:rsidP="00EE2A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necessidade de métricas que considerem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antes, durante e depois do evento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B9269CA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2AF14054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6C343D">
          <v:rect id="_x0000_i1027" style="width:0;height:1.5pt" o:hralign="center" o:hrstd="t" o:hr="t" fillcolor="#a0a0a0" stroked="f"/>
        </w:pict>
      </w:r>
    </w:p>
    <w:p w14:paraId="043D971C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mais relevantes</w:t>
      </w:r>
    </w:p>
    <w:p w14:paraId="49DAB050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Distinção formal entre confiabilidade e resiliência</w:t>
      </w:r>
    </w:p>
    <w:p w14:paraId="65AACE2B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3 mostra claramente que:</w:t>
      </w:r>
    </w:p>
    <w:p w14:paraId="64B4310B" w14:textId="77777777" w:rsidR="00EE2AE6" w:rsidRPr="00EE2AE6" w:rsidRDefault="00EE2AE6" w:rsidP="00EE2A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desempenho sob condições normais;</w:t>
      </w:r>
    </w:p>
    <w:p w14:paraId="6FCA62A3" w14:textId="77777777" w:rsidR="00EE2AE6" w:rsidRPr="00EE2AE6" w:rsidRDefault="00EE2AE6" w:rsidP="00EE2A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→ capacidade de resistir, adaptar e recuperar após eventos extremos. </w:t>
      </w:r>
    </w:p>
    <w:p w14:paraId="4236F9C8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52193D28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fundamentos teóricos mais sólidos para justificar a sua tese.</w:t>
      </w:r>
    </w:p>
    <w:p w14:paraId="2D4BF6A8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1CD5EF">
          <v:rect id="_x0000_i1028" style="width:0;height:1.5pt" o:hralign="center" o:hrstd="t" o:hr="t" fillcolor="#a0a0a0" stroked="f"/>
        </w:pict>
      </w:r>
    </w:p>
    <w:p w14:paraId="56425DAD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Consolidação das definições institucionais de resiliência</w:t>
      </w:r>
    </w:p>
    <w:p w14:paraId="4B109D19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lista cronologicamente definições de:</w:t>
      </w:r>
    </w:p>
    <w:p w14:paraId="5767AD75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Haimes (2009),</w:t>
      </w:r>
    </w:p>
    <w:p w14:paraId="3F76587E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ONU (2009),</w:t>
      </w:r>
    </w:p>
    <w:p w14:paraId="3A2D9E55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UKERC,</w:t>
      </w:r>
    </w:p>
    <w:p w14:paraId="03200471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PPD-21 dos EUA,</w:t>
      </w:r>
    </w:p>
    <w:p w14:paraId="7E570331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DOE,</w:t>
      </w:r>
    </w:p>
    <w:p w14:paraId="6B226C15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 et al.,</w:t>
      </w:r>
    </w:p>
    <w:p w14:paraId="22994729" w14:textId="77777777" w:rsidR="00EE2AE6" w:rsidRPr="00EE2AE6" w:rsidRDefault="00EE2AE6" w:rsidP="00EE2A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Task Force (2023),</w:t>
      </w:r>
    </w:p>
    <w:p w14:paraId="6D4BA82A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mostrando a convergência no conceito:</w:t>
      </w:r>
    </w:p>
    <w:p w14:paraId="0A7F3CE9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antecipar, absorver, recuperar rapidamente e adaptar (WRAP). </w:t>
      </w:r>
    </w:p>
    <w:p w14:paraId="4E506E9E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7EB0712C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48207E">
          <v:rect id="_x0000_i1029" style="width:0;height:1.5pt" o:hralign="center" o:hrstd="t" o:hr="t" fillcolor="#a0a0a0" stroked="f"/>
        </w:pict>
      </w:r>
    </w:p>
    <w:p w14:paraId="51F293A7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Frameworks de resiliência</w:t>
      </w:r>
    </w:p>
    <w:p w14:paraId="62175272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analisados em detalhe:</w:t>
      </w:r>
    </w:p>
    <w:p w14:paraId="33C2C505" w14:textId="77777777" w:rsidR="00EE2AE6" w:rsidRPr="00EE2AE6" w:rsidRDefault="00EE2AE6" w:rsidP="00EE2A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DHS (2009),</w:t>
      </w:r>
    </w:p>
    <w:p w14:paraId="520D0FFB" w14:textId="77777777" w:rsidR="00EE2AE6" w:rsidRPr="00EE2AE6" w:rsidRDefault="00EE2AE6" w:rsidP="00EE2A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Sandia Labs – RAP (2014),</w:t>
      </w:r>
    </w:p>
    <w:p w14:paraId="5A2AEEBE" w14:textId="77777777" w:rsidR="00EE2AE6" w:rsidRPr="00EE2AE6" w:rsidRDefault="00EE2AE6" w:rsidP="00EE2A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RAND (2015),</w:t>
      </w:r>
    </w:p>
    <w:p w14:paraId="3C15D1B4" w14:textId="77777777" w:rsidR="00EE2AE6" w:rsidRPr="00EE2AE6" w:rsidRDefault="00EE2AE6" w:rsidP="00EE2A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UK Government (2022),</w:t>
      </w:r>
    </w:p>
    <w:p w14:paraId="2C1AC8B3" w14:textId="77777777" w:rsidR="00EE2AE6" w:rsidRPr="00EE2AE6" w:rsidRDefault="00EE2AE6" w:rsidP="00EE2A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IEEE Task Force (2023). </w:t>
      </w:r>
    </w:p>
    <w:p w14:paraId="1A923A7F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76DAC7D7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Especialmente relevante:</w:t>
      </w:r>
    </w:p>
    <w:p w14:paraId="42317BAA" w14:textId="77777777" w:rsidR="00EE2AE6" w:rsidRPr="00EE2AE6" w:rsidRDefault="00EE2AE6" w:rsidP="00EE2AE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Analysis Process (RAP)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Sandia Labs, com as 6 etapas formais de avaliação de resiliência. </w:t>
      </w:r>
    </w:p>
    <w:p w14:paraId="7F620CA2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6F8BA7EC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diretamente reutilizável como base estrutural para a sua metodologia de tese.</w:t>
      </w:r>
    </w:p>
    <w:p w14:paraId="5BB5F95A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13668E">
          <v:rect id="_x0000_i1030" style="width:0;height:1.5pt" o:hralign="center" o:hrstd="t" o:hr="t" fillcolor="#a0a0a0" stroked="f"/>
        </w:pict>
      </w:r>
    </w:p>
    <w:p w14:paraId="6F2BCBD5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Revisão sistemática das métricas de resiliência</w:t>
      </w:r>
    </w:p>
    <w:p w14:paraId="7E3797EC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as principais métricas existentes (M1–M8), incluindo:</w:t>
      </w:r>
    </w:p>
    <w:p w14:paraId="35CC2827" w14:textId="77777777" w:rsidR="00EE2AE6" w:rsidRPr="00EE2AE6" w:rsidRDefault="00EE2AE6" w:rsidP="00EE2A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topológicas por teoria de redes complexas;</w:t>
      </w:r>
    </w:p>
    <w:p w14:paraId="742D3DE7" w14:textId="77777777" w:rsidR="00EE2AE6" w:rsidRPr="00EE2AE6" w:rsidRDefault="00EE2AE6" w:rsidP="00EE2A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energia não suprida;</w:t>
      </w:r>
    </w:p>
    <w:p w14:paraId="06ACA9AD" w14:textId="77777777" w:rsidR="00EE2AE6" w:rsidRPr="00EE2AE6" w:rsidRDefault="00EE2AE6" w:rsidP="00EE2A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criticidade de carga;</w:t>
      </w:r>
    </w:p>
    <w:p w14:paraId="28F614E9" w14:textId="77777777" w:rsidR="00EE2AE6" w:rsidRPr="00EE2AE6" w:rsidRDefault="00EE2AE6" w:rsidP="00EE2A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de recuperação;</w:t>
      </w:r>
    </w:p>
    <w:p w14:paraId="038CF7EE" w14:textId="77777777" w:rsidR="00EE2AE6" w:rsidRPr="00EE2AE6" w:rsidRDefault="00EE2AE6" w:rsidP="00EE2A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métricas AWR (anticipate–withstand–recover). </w:t>
      </w:r>
    </w:p>
    <w:p w14:paraId="52100B4D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4C8E5865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4 mostra:</w:t>
      </w:r>
    </w:p>
    <w:p w14:paraId="0BE20937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quais métricas consideram serviço elétrico,</w:t>
      </w:r>
    </w:p>
    <w:p w14:paraId="79883362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topologia,</w:t>
      </w:r>
    </w:p>
    <w:p w14:paraId="79281D7A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operação,</w:t>
      </w:r>
    </w:p>
    <w:p w14:paraId="12FFBA4C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planeamento,</w:t>
      </w:r>
    </w:p>
    <w:p w14:paraId="779ABB84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RAP,</w:t>
      </w:r>
    </w:p>
    <w:p w14:paraId="0618A2DB" w14:textId="77777777" w:rsidR="00EE2AE6" w:rsidRPr="00EE2AE6" w:rsidRDefault="00EE2AE6" w:rsidP="00EE2A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do IEEE. </w:t>
      </w:r>
    </w:p>
    <w:p w14:paraId="7A2C4E3F" w14:textId="77777777" w:rsidR="00EE2AE6" w:rsidRPr="00EE2AE6" w:rsidRDefault="00EE2AE6" w:rsidP="00EE2AE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10C2CAEA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das sínteses mais completas da literatura.</w:t>
      </w:r>
    </w:p>
    <w:p w14:paraId="1BEF2896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214D4">
          <v:rect id="_x0000_i1031" style="width:0;height:1.5pt" o:hralign="center" o:hrstd="t" o:hr="t" fillcolor="#a0a0a0" stroked="f"/>
        </w:pict>
      </w:r>
    </w:p>
    <w:p w14:paraId="40F4B119" w14:textId="77777777" w:rsidR="00EE2AE6" w:rsidRPr="00EE2AE6" w:rsidRDefault="00EE2AE6" w:rsidP="00EE2A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Limitação explícita: foco exclusivo em sistemas de distribuição</w:t>
      </w:r>
    </w:p>
    <w:p w14:paraId="063AE52D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Todo o artigo é formulado para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EDS (Electrical Distribution Systems)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Linhas de transmissão aparecem apenas indiretamente como contexto sistêmico. </w:t>
      </w:r>
    </w:p>
    <w:p w14:paraId="1C76A1B4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comprehensive review on …</w:t>
      </w:r>
    </w:p>
    <w:p w14:paraId="0E262C44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Portanto:</w:t>
      </w:r>
    </w:p>
    <w:p w14:paraId="697CF72E" w14:textId="77777777" w:rsidR="00EE2AE6" w:rsidRPr="00EE2AE6" w:rsidRDefault="00EE2AE6" w:rsidP="00EE2A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 é conceitualmente forte,</w:t>
      </w:r>
    </w:p>
    <w:p w14:paraId="7A238EAD" w14:textId="77777777" w:rsidR="00EE2AE6" w:rsidRPr="00EE2AE6" w:rsidRDefault="00EE2AE6" w:rsidP="00EE2A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tecnicamente deslocado do objeto físico principal da sua tese (LT).</w:t>
      </w:r>
    </w:p>
    <w:p w14:paraId="4125836D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F5C82E">
          <v:rect id="_x0000_i1032" style="width:0;height:1.5pt" o:hralign="center" o:hrstd="t" o:hr="t" fillcolor="#a0a0a0" stroked="f"/>
        </w:pict>
      </w:r>
    </w:p>
    <w:p w14:paraId="572FBABF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núcleo da sua tese</w:t>
      </w:r>
    </w:p>
    <w:p w14:paraId="5D1C1C88" w14:textId="77777777" w:rsidR="00EE2AE6" w:rsidRPr="00EE2AE6" w:rsidRDefault="00EE2AE6" w:rsidP="00EE2A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de fragilidade estrutural de linhas.</w:t>
      </w:r>
    </w:p>
    <w:p w14:paraId="1A7F83DF" w14:textId="77777777" w:rsidR="00EE2AE6" w:rsidRPr="00EE2AE6" w:rsidRDefault="00EE2AE6" w:rsidP="00EE2A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falha física por vento, gelo, incêndio ou temperatura.</w:t>
      </w:r>
    </w:p>
    <w:p w14:paraId="28F2BC28" w14:textId="77777777" w:rsidR="00EE2AE6" w:rsidRPr="00EE2AE6" w:rsidRDefault="00EE2AE6" w:rsidP="00EE2A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curvas de desempenho × tempo para LT.</w:t>
      </w:r>
    </w:p>
    <w:p w14:paraId="03292293" w14:textId="77777777" w:rsidR="00EE2AE6" w:rsidRPr="00EE2AE6" w:rsidRDefault="00EE2AE6" w:rsidP="00EE2A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trabalha com mecânica estrutural de torres e condutores.</w:t>
      </w:r>
    </w:p>
    <w:p w14:paraId="5C202549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8435117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de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conceitual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resiliência física de ativos.</w:t>
      </w:r>
    </w:p>
    <w:p w14:paraId="298ABB98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0D6B44">
          <v:rect id="_x0000_i1033" style="width:0;height:1.5pt" o:hralign="center" o:hrstd="t" o:hr="t" fillcolor="#a0a0a0" stroked="f"/>
        </w:pict>
      </w:r>
    </w:p>
    <w:p w14:paraId="4A4B80B2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492"/>
      </w:tblGrid>
      <w:tr w:rsidR="00EE2AE6" w:rsidRPr="00EE2AE6" w14:paraId="1E738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51BA2" w14:textId="77777777" w:rsidR="00EE2AE6" w:rsidRPr="00EE2AE6" w:rsidRDefault="00EE2AE6" w:rsidP="00EE2AE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51F010" w14:textId="77777777" w:rsidR="00EE2AE6" w:rsidRPr="00EE2AE6" w:rsidRDefault="00EE2AE6" w:rsidP="00EE2AE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E2AE6" w:rsidRPr="00EE2AE6" w14:paraId="7CB3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7D60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Conceito formal de resiliência</w:t>
            </w:r>
          </w:p>
        </w:tc>
        <w:tc>
          <w:tcPr>
            <w:tcW w:w="0" w:type="auto"/>
            <w:vAlign w:val="center"/>
            <w:hideMark/>
          </w:tcPr>
          <w:p w14:paraId="626CA2F1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EE2AE6" w:rsidRPr="00EE2AE6" w14:paraId="76D5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769B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Frameworks metodológicos</w:t>
            </w:r>
          </w:p>
        </w:tc>
        <w:tc>
          <w:tcPr>
            <w:tcW w:w="0" w:type="auto"/>
            <w:vAlign w:val="center"/>
            <w:hideMark/>
          </w:tcPr>
          <w:p w14:paraId="5390D8AC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EE2AE6" w:rsidRPr="00EE2AE6" w14:paraId="453C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17E2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de avaliação</w:t>
            </w:r>
          </w:p>
        </w:tc>
        <w:tc>
          <w:tcPr>
            <w:tcW w:w="0" w:type="auto"/>
            <w:vAlign w:val="center"/>
            <w:hideMark/>
          </w:tcPr>
          <w:p w14:paraId="3127217A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E2AE6" w:rsidRPr="00EE2AE6" w14:paraId="6E5C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97E3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3B34A9A5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E2AE6" w:rsidRPr="00EE2AE6" w14:paraId="645E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2DF7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estrutural</w:t>
            </w:r>
          </w:p>
        </w:tc>
        <w:tc>
          <w:tcPr>
            <w:tcW w:w="0" w:type="auto"/>
            <w:vAlign w:val="center"/>
            <w:hideMark/>
          </w:tcPr>
          <w:p w14:paraId="60F64FBE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E2AE6" w:rsidRPr="00EE2AE6" w14:paraId="5AF2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0AA5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aplicados a LT</w:t>
            </w:r>
          </w:p>
        </w:tc>
        <w:tc>
          <w:tcPr>
            <w:tcW w:w="0" w:type="auto"/>
            <w:vAlign w:val="center"/>
            <w:hideMark/>
          </w:tcPr>
          <w:p w14:paraId="2A640A79" w14:textId="77777777" w:rsidR="00EE2AE6" w:rsidRPr="00EE2AE6" w:rsidRDefault="00EE2AE6" w:rsidP="00EE2AE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E2AE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E2AE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</w:tbl>
    <w:p w14:paraId="27745A1B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às LT: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E2AE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à sua tese: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35B1734F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D918BF">
          <v:rect id="_x0000_i1034" style="width:0;height:1.5pt" o:hralign="center" o:hrstd="t" o:hr="t" fillcolor="#a0a0a0" stroked="f"/>
        </w:pict>
      </w:r>
    </w:p>
    <w:p w14:paraId="73A16BB2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2AD8F3E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275CEF81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um dos pilares teóricos mais importantes para:</w:t>
      </w:r>
    </w:p>
    <w:p w14:paraId="335CE142" w14:textId="77777777" w:rsidR="00EE2AE6" w:rsidRPr="00EE2AE6" w:rsidRDefault="00EE2AE6" w:rsidP="00EE2A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conceito de resiliência na sua tese,</w:t>
      </w:r>
    </w:p>
    <w:p w14:paraId="0D3A8010" w14:textId="77777777" w:rsidR="00EE2AE6" w:rsidRPr="00EE2AE6" w:rsidRDefault="00EE2AE6" w:rsidP="00EE2A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da sua metodologia,</w:t>
      </w:r>
    </w:p>
    <w:p w14:paraId="184FAC8C" w14:textId="77777777" w:rsidR="00EE2AE6" w:rsidRPr="00EE2AE6" w:rsidRDefault="00EE2AE6" w:rsidP="00EE2A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do seu índice,</w:t>
      </w:r>
    </w:p>
    <w:p w14:paraId="439B3C51" w14:textId="77777777" w:rsidR="00EE2AE6" w:rsidRPr="00EE2AE6" w:rsidRDefault="00EE2AE6" w:rsidP="00EE2A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formal entre confiabilidade e resiliência.</w:t>
      </w:r>
    </w:p>
    <w:p w14:paraId="3565D7E0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 legitima academicamente tudo o que você está a propor.</w:t>
      </w:r>
    </w:p>
    <w:p w14:paraId="1F178E29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739C5">
          <v:rect id="_x0000_i1035" style="width:0;height:1.5pt" o:hralign="center" o:hrstd="t" o:hr="t" fillcolor="#a0a0a0" stroked="f"/>
        </w:pict>
      </w:r>
    </w:p>
    <w:p w14:paraId="65B56FF1" w14:textId="77777777" w:rsidR="00EE2AE6" w:rsidRPr="00EE2AE6" w:rsidRDefault="00EE2AE6" w:rsidP="00EE2A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sua futura tabela)</w:t>
      </w:r>
    </w:p>
    <w:p w14:paraId="7C946177" w14:textId="77777777" w:rsidR="00EE2AE6" w:rsidRPr="00EE2AE6" w:rsidRDefault="00EE2AE6" w:rsidP="00EE2A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36C082A" w14:textId="77777777" w:rsidR="00EE2AE6" w:rsidRPr="00EE2AE6" w:rsidRDefault="00EE2AE6" w:rsidP="00EE2A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Definições, frameworks, métricas e estratégias de resiliência em sistemas de distribuição</w:t>
      </w:r>
    </w:p>
    <w:p w14:paraId="42822FDD" w14:textId="77777777" w:rsidR="00EE2AE6" w:rsidRPr="00EE2AE6" w:rsidRDefault="00EE2AE6" w:rsidP="00EE2A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7730DC0" w14:textId="77777777" w:rsidR="00EE2AE6" w:rsidRPr="00EE2AE6" w:rsidRDefault="00EE2AE6" w:rsidP="00EE2A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3E337C6" w14:textId="77777777" w:rsidR="00EE2AE6" w:rsidRPr="00EE2AE6" w:rsidRDefault="00EE2AE6" w:rsidP="00EE2AE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2EDF632C" w14:textId="77777777" w:rsidR="00EE2AE6" w:rsidRPr="00EE2AE6" w:rsidRDefault="00EE2AE6" w:rsidP="00EE2AE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4AEC6A52" w14:textId="77777777" w:rsidR="00EE2AE6" w:rsidRPr="00EE2AE6" w:rsidRDefault="00EE2AE6" w:rsidP="00EE2AE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escolha,</w:t>
      </w:r>
    </w:p>
    <w:p w14:paraId="6AB7B5BC" w14:textId="77777777" w:rsidR="00EE2AE6" w:rsidRPr="00EE2AE6" w:rsidRDefault="00EE2AE6" w:rsidP="00EE2AE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conceitual,</w:t>
      </w:r>
    </w:p>
    <w:p w14:paraId="24C3E75B" w14:textId="77777777" w:rsidR="00EE2AE6" w:rsidRPr="00EE2AE6" w:rsidRDefault="00EE2AE6" w:rsidP="00EE2AE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do seu índice de resiliência.</w:t>
      </w:r>
    </w:p>
    <w:p w14:paraId="0A8F63C8" w14:textId="77777777" w:rsidR="00EE2AE6" w:rsidRPr="00EE2AE6" w:rsidRDefault="00EE2AE6" w:rsidP="00EE2A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39F39B57" w14:textId="77777777" w:rsidR="00EE2AE6" w:rsidRPr="00EE2AE6" w:rsidRDefault="00EE2AE6" w:rsidP="00EE2A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900100">
          <v:rect id="_x0000_i1036" style="width:0;height:1.5pt" o:hralign="center" o:hrstd="t" o:hr="t" fillcolor="#a0a0a0" stroked="f"/>
        </w:pict>
      </w:r>
    </w:p>
    <w:p w14:paraId="519B2E79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4952B7F1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fala de linhas de transmissão como objeto físico.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sem ele, a sua tese perde o alicerce conceitual da palavra </w:t>
      </w:r>
      <w:r w:rsidRPr="00EE2A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“resiliência”</w:t>
      </w: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67662E" w14:textId="77777777" w:rsidR="00EE2AE6" w:rsidRPr="00EE2AE6" w:rsidRDefault="00EE2AE6" w:rsidP="00EE2A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2A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a espinha dorsal teórica que sustenta todo o seu trabalho técnico.</w:t>
      </w:r>
    </w:p>
    <w:p w14:paraId="3B3E8462" w14:textId="77777777" w:rsidR="00B14D86" w:rsidRPr="00EE2AE6" w:rsidRDefault="00B14D86"/>
    <w:sectPr w:rsidR="00B14D86" w:rsidRPr="00EE2AE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2FB4"/>
    <w:multiLevelType w:val="multilevel"/>
    <w:tmpl w:val="A392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6ED0"/>
    <w:multiLevelType w:val="multilevel"/>
    <w:tmpl w:val="D81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3868"/>
    <w:multiLevelType w:val="multilevel"/>
    <w:tmpl w:val="4DA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05055"/>
    <w:multiLevelType w:val="multilevel"/>
    <w:tmpl w:val="002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1A2E"/>
    <w:multiLevelType w:val="multilevel"/>
    <w:tmpl w:val="24D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42A2"/>
    <w:multiLevelType w:val="multilevel"/>
    <w:tmpl w:val="299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9616D"/>
    <w:multiLevelType w:val="multilevel"/>
    <w:tmpl w:val="D86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0391A"/>
    <w:multiLevelType w:val="multilevel"/>
    <w:tmpl w:val="C36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235DA"/>
    <w:multiLevelType w:val="multilevel"/>
    <w:tmpl w:val="66A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2532F"/>
    <w:multiLevelType w:val="multilevel"/>
    <w:tmpl w:val="167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C6B57"/>
    <w:multiLevelType w:val="multilevel"/>
    <w:tmpl w:val="928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B5E4A"/>
    <w:multiLevelType w:val="multilevel"/>
    <w:tmpl w:val="EF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243294">
    <w:abstractNumId w:val="6"/>
  </w:num>
  <w:num w:numId="2" w16cid:durableId="1790657901">
    <w:abstractNumId w:val="3"/>
  </w:num>
  <w:num w:numId="3" w16cid:durableId="1682976760">
    <w:abstractNumId w:val="4"/>
  </w:num>
  <w:num w:numId="4" w16cid:durableId="1479615345">
    <w:abstractNumId w:val="1"/>
  </w:num>
  <w:num w:numId="5" w16cid:durableId="615453373">
    <w:abstractNumId w:val="10"/>
  </w:num>
  <w:num w:numId="6" w16cid:durableId="1885674490">
    <w:abstractNumId w:val="2"/>
  </w:num>
  <w:num w:numId="7" w16cid:durableId="202449176">
    <w:abstractNumId w:val="11"/>
  </w:num>
  <w:num w:numId="8" w16cid:durableId="639850549">
    <w:abstractNumId w:val="7"/>
  </w:num>
  <w:num w:numId="9" w16cid:durableId="1450853113">
    <w:abstractNumId w:val="8"/>
  </w:num>
  <w:num w:numId="10" w16cid:durableId="173545059">
    <w:abstractNumId w:val="0"/>
  </w:num>
  <w:num w:numId="11" w16cid:durableId="1592617625">
    <w:abstractNumId w:val="9"/>
  </w:num>
  <w:num w:numId="12" w16cid:durableId="916089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8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14D86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2AE6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D56D"/>
  <w15:chartTrackingRefBased/>
  <w15:docId w15:val="{44D6B75F-3DCA-4648-B3FF-AFB91C95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8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8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8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8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8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1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8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14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AE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E2AE6"/>
    <w:rPr>
      <w:b/>
      <w:bCs/>
    </w:rPr>
  </w:style>
  <w:style w:type="character" w:customStyle="1" w:styleId="relative">
    <w:name w:val="relative"/>
    <w:basedOn w:val="DefaultParagraphFont"/>
    <w:rsid w:val="00EE2AE6"/>
  </w:style>
  <w:style w:type="paragraph" w:customStyle="1" w:styleId="not-prose">
    <w:name w:val="not-prose"/>
    <w:basedOn w:val="Normal"/>
    <w:rsid w:val="00EE2AE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E2A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844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2026-01-12T15:06:00Z</dcterms:created>
  <dcterms:modified xsi:type="dcterms:W3CDTF">2026-01-12T15:06:00Z</dcterms:modified>
</cp:coreProperties>
</file>