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9FD6" w14:textId="53FBFB48" w:rsidR="00AC5231" w:rsidRDefault="009E6626">
      <w:r w:rsidRPr="009E6626">
        <w:t>2025 PDE2035-Estudos do Plano Decenal de Expansão de Energia 2035-Parâmetros de Custos Geração e Transmissão-EPE</w:t>
      </w:r>
    </w:p>
    <w:p w14:paraId="01022551" w14:textId="77777777" w:rsidR="009E6626" w:rsidRDefault="009E6626"/>
    <w:p w14:paraId="5AA65B21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Arquivo: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2025 </w:t>
      </w:r>
      <w:r w:rsidRPr="00EA67C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PDE 2035 – Estudos do Plano Decenal de Expansão de Energia 2035: Parâmetros de Custos da Geração e Transmissão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EPE (Empresa de Pesquisa Energética). </w:t>
      </w:r>
    </w:p>
    <w:p w14:paraId="3B02E3F8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PDE2035-Estudos do Plano D…</w:t>
      </w:r>
    </w:p>
    <w:p w14:paraId="78F078E8" w14:textId="77777777" w:rsidR="00EA67C1" w:rsidRPr="00EA67C1" w:rsidRDefault="00EA67C1" w:rsidP="00EA67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D7906C">
          <v:rect id="_x0000_i1025" style="width:0;height:1.5pt" o:hralign="center" o:hrstd="t" o:hr="t" fillcolor="#a0a0a0" stroked="f"/>
        </w:pict>
      </w:r>
    </w:p>
    <w:p w14:paraId="3C5B57FD" w14:textId="77777777" w:rsidR="00EA67C1" w:rsidRPr="00EA67C1" w:rsidRDefault="00EA67C1" w:rsidP="00EA67C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174B5A8E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Documento técnico-institucional oficial do Governo Brasileiro (MME/EPE), de </w:t>
      </w:r>
      <w:proofErr w:type="spellStart"/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normativo-econômico e de planejamento setorial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que estabelece os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parâmetros de custos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utilizados como dados de entrada no </w:t>
      </w:r>
      <w:r w:rsidRPr="00EA67C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Modelo de Decisão de Investimento (MDI)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PDE 2035.</w:t>
      </w:r>
    </w:p>
    <w:p w14:paraId="40DDC4AA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um artigo científico. É um documento de referência para:</w:t>
      </w:r>
    </w:p>
    <w:p w14:paraId="16CE87C0" w14:textId="77777777" w:rsidR="00EA67C1" w:rsidRPr="00EA67C1" w:rsidRDefault="00EA67C1" w:rsidP="00EA67C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formulação de políticas públicas,</w:t>
      </w:r>
    </w:p>
    <w:p w14:paraId="0C3A8A00" w14:textId="77777777" w:rsidR="00EA67C1" w:rsidRPr="00EA67C1" w:rsidRDefault="00EA67C1" w:rsidP="00EA67C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da expansão da geração e transmissão,</w:t>
      </w:r>
    </w:p>
    <w:p w14:paraId="3CCCCCC9" w14:textId="77777777" w:rsidR="00EA67C1" w:rsidRPr="00EA67C1" w:rsidRDefault="00EA67C1" w:rsidP="00EA67C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de custos de CAPEX, O&amp;M, CVU e custos de transmissão.</w:t>
      </w:r>
    </w:p>
    <w:p w14:paraId="17D909FF" w14:textId="77777777" w:rsidR="00EA67C1" w:rsidRPr="00EA67C1" w:rsidRDefault="00EA67C1" w:rsidP="00EA67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CC3A94">
          <v:rect id="_x0000_i1026" style="width:0;height:1.5pt" o:hralign="center" o:hrstd="t" o:hr="t" fillcolor="#a0a0a0" stroked="f"/>
        </w:pict>
      </w:r>
    </w:p>
    <w:p w14:paraId="7C614058" w14:textId="77777777" w:rsidR="00EA67C1" w:rsidRPr="00EA67C1" w:rsidRDefault="00EA67C1" w:rsidP="00EA67C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documento</w:t>
      </w:r>
    </w:p>
    <w:p w14:paraId="39EE5F76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é:</w:t>
      </w:r>
    </w:p>
    <w:p w14:paraId="08D11680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Definir valores econômicos de referência para investimentos em geração e transmissão de energia elétrica no Brasil, assegurando transparência, padronização e coerência no planejamento decenal do setor elétrico.</w:t>
      </w:r>
    </w:p>
    <w:p w14:paraId="5858DDCD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Explicitamente indicado na página 4: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documento visa dar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transparência e publicidade aos dados de entrada do MDI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reduzindo assimetria de informação entre agentes.</w:t>
      </w:r>
    </w:p>
    <w:p w14:paraId="6441EF3E" w14:textId="77777777" w:rsidR="00EA67C1" w:rsidRPr="00EA67C1" w:rsidRDefault="00EA67C1" w:rsidP="00EA67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F01436">
          <v:rect id="_x0000_i1027" style="width:0;height:1.5pt" o:hralign="center" o:hrstd="t" o:hr="t" fillcolor="#a0a0a0" stroked="f"/>
        </w:pict>
      </w:r>
    </w:p>
    <w:p w14:paraId="5083FB55" w14:textId="77777777" w:rsidR="00EA67C1" w:rsidRPr="00EA67C1" w:rsidRDefault="00EA67C1" w:rsidP="00EA67C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Conteúdo técnico essencial</w:t>
      </w:r>
    </w:p>
    <w:p w14:paraId="724DD59A" w14:textId="77777777" w:rsidR="00EA67C1" w:rsidRPr="00EA67C1" w:rsidRDefault="00EA67C1" w:rsidP="00EA67C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Estrutura de custos da geração</w:t>
      </w:r>
    </w:p>
    <w:p w14:paraId="2F085A1A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página 8 são definidos os componentes principais:</w:t>
      </w:r>
    </w:p>
    <w:p w14:paraId="6E75534F" w14:textId="77777777" w:rsidR="00EA67C1" w:rsidRPr="00EA67C1" w:rsidRDefault="00EA67C1" w:rsidP="00EA67C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CAPEX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custos de equipamentos, obras civis, conexão, meio ambiente, etc.;</w:t>
      </w:r>
    </w:p>
    <w:p w14:paraId="260A02EC" w14:textId="77777777" w:rsidR="00EA67C1" w:rsidRPr="00EA67C1" w:rsidRDefault="00EA67C1" w:rsidP="00EA67C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O&amp;M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custos fixos e variáveis de operação e manutenção;</w:t>
      </w:r>
    </w:p>
    <w:p w14:paraId="691EF013" w14:textId="77777777" w:rsidR="00EA67C1" w:rsidRPr="00EA67C1" w:rsidRDefault="00EA67C1" w:rsidP="00EA67C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CVU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custo variável unitário das termelétricas, composto por:</w:t>
      </w:r>
    </w:p>
    <w:p w14:paraId="62ECE8A9" w14:textId="77777777" w:rsidR="00EA67C1" w:rsidRPr="00EA67C1" w:rsidRDefault="00EA67C1" w:rsidP="00EA67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CVU=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comb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&amp;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M,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var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5A67A7B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Também se estabelece:</w:t>
      </w:r>
    </w:p>
    <w:p w14:paraId="4EB5876A" w14:textId="77777777" w:rsidR="00EA67C1" w:rsidRPr="00EA67C1" w:rsidRDefault="00EA67C1" w:rsidP="00EA67C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taxa de desconto real de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8% </w:t>
      </w:r>
      <w:proofErr w:type="spellStart"/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a.a.</w:t>
      </w:r>
      <w:proofErr w:type="spellEnd"/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 em WACC;</w:t>
      </w:r>
    </w:p>
    <w:p w14:paraId="2518D955" w14:textId="77777777" w:rsidR="00EA67C1" w:rsidRPr="00EA67C1" w:rsidRDefault="00EA67C1" w:rsidP="00EA67C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câmbio de referência: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R$ 6,10/USD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55653F7" w14:textId="77777777" w:rsidR="00EA67C1" w:rsidRPr="00EA67C1" w:rsidRDefault="00EA67C1" w:rsidP="00EA67C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 de capital: 40% próprio / 60% terceiros (para geração).</w:t>
      </w:r>
    </w:p>
    <w:p w14:paraId="1BE00C84" w14:textId="77777777" w:rsidR="00EA67C1" w:rsidRPr="00EA67C1" w:rsidRDefault="00EA67C1" w:rsidP="00EA67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442A4A">
          <v:rect id="_x0000_i1028" style="width:0;height:1.5pt" o:hralign="center" o:hrstd="t" o:hr="t" fillcolor="#a0a0a0" stroked="f"/>
        </w:pict>
      </w:r>
    </w:p>
    <w:p w14:paraId="7D4CD900" w14:textId="77777777" w:rsidR="00EA67C1" w:rsidRPr="00EA67C1" w:rsidRDefault="00EA67C1" w:rsidP="00EA67C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Parâmetros econômicos das fontes</w:t>
      </w:r>
    </w:p>
    <w:p w14:paraId="082DC5EC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Entre as páginas 10 a 13 são apresentadas as tabelas de referência de CAPEX e O&amp;M para:</w:t>
      </w:r>
    </w:p>
    <w:p w14:paraId="5F0E9805" w14:textId="77777777" w:rsidR="00EA67C1" w:rsidRPr="00EA67C1" w:rsidRDefault="00EA67C1" w:rsidP="00EA67C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solar fotovoltaica,</w:t>
      </w:r>
    </w:p>
    <w:p w14:paraId="4DEAD4E0" w14:textId="77777777" w:rsidR="00EA67C1" w:rsidRPr="00EA67C1" w:rsidRDefault="00EA67C1" w:rsidP="00EA67C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eólica </w:t>
      </w:r>
      <w:proofErr w:type="spellStart"/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onshore</w:t>
      </w:r>
      <w:proofErr w:type="spellEnd"/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offshore,</w:t>
      </w:r>
    </w:p>
    <w:p w14:paraId="44F58624" w14:textId="77777777" w:rsidR="00EA67C1" w:rsidRPr="00EA67C1" w:rsidRDefault="00EA67C1" w:rsidP="00EA67C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biomassa,</w:t>
      </w:r>
    </w:p>
    <w:p w14:paraId="1A27FB15" w14:textId="77777777" w:rsidR="00EA67C1" w:rsidRPr="00EA67C1" w:rsidRDefault="00EA67C1" w:rsidP="00EA67C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gás natural (em três regimes operativos),</w:t>
      </w:r>
    </w:p>
    <w:p w14:paraId="0AD80C9B" w14:textId="77777777" w:rsidR="00EA67C1" w:rsidRPr="00EA67C1" w:rsidRDefault="00EA67C1" w:rsidP="00EA67C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nuclear,</w:t>
      </w:r>
    </w:p>
    <w:p w14:paraId="1D683DB9" w14:textId="77777777" w:rsidR="00EA67C1" w:rsidRPr="00EA67C1" w:rsidRDefault="00EA67C1" w:rsidP="00EA67C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PCH,</w:t>
      </w:r>
    </w:p>
    <w:p w14:paraId="4314AA83" w14:textId="77777777" w:rsidR="00EA67C1" w:rsidRPr="00EA67C1" w:rsidRDefault="00EA67C1" w:rsidP="00EA67C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armazenamento em baterias,</w:t>
      </w:r>
    </w:p>
    <w:p w14:paraId="0ADE484C" w14:textId="77777777" w:rsidR="00EA67C1" w:rsidRPr="00EA67C1" w:rsidRDefault="00EA67C1" w:rsidP="00EA67C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BECCS e CCS.</w:t>
      </w:r>
    </w:p>
    <w:p w14:paraId="0C8843E2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(página 11):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Solar fotovoltaica:</w:t>
      </w:r>
    </w:p>
    <w:p w14:paraId="62A0F863" w14:textId="77777777" w:rsidR="00EA67C1" w:rsidRPr="00EA67C1" w:rsidRDefault="00EA67C1" w:rsidP="00EA67C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CAPEX: 3.000 a 6.000 R$/kW</w:t>
      </w:r>
    </w:p>
    <w:p w14:paraId="5465CC26" w14:textId="77777777" w:rsidR="00EA67C1" w:rsidRPr="00EA67C1" w:rsidRDefault="00EA67C1" w:rsidP="00EA67C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O&amp;M: 60 R$/</w:t>
      </w:r>
      <w:proofErr w:type="spellStart"/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kW·ano</w:t>
      </w:r>
      <w:proofErr w:type="spellEnd"/>
    </w:p>
    <w:p w14:paraId="6055B401" w14:textId="77777777" w:rsidR="00EA67C1" w:rsidRPr="00EA67C1" w:rsidRDefault="00EA67C1" w:rsidP="00EA67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174E71">
          <v:rect id="_x0000_i1029" style="width:0;height:1.5pt" o:hralign="center" o:hrstd="t" o:hr="t" fillcolor="#a0a0a0" stroked="f"/>
        </w:pict>
      </w:r>
    </w:p>
    <w:p w14:paraId="52E78146" w14:textId="77777777" w:rsidR="00EA67C1" w:rsidRPr="00EA67C1" w:rsidRDefault="00EA67C1" w:rsidP="00EA67C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Custos variáveis unitários (CVU)</w:t>
      </w:r>
    </w:p>
    <w:p w14:paraId="16573E63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página 17:</w:t>
      </w:r>
    </w:p>
    <w:p w14:paraId="2C011B48" w14:textId="77777777" w:rsidR="00EA67C1" w:rsidRPr="00EA67C1" w:rsidRDefault="00EA67C1" w:rsidP="00EA67C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CVU para gás natural:</w:t>
      </w:r>
    </w:p>
    <w:p w14:paraId="41805F4A" w14:textId="77777777" w:rsidR="00EA67C1" w:rsidRPr="00EA67C1" w:rsidRDefault="00EA67C1" w:rsidP="00EA67C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100% flexível: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1000 R$/</w:t>
      </w:r>
      <w:proofErr w:type="spellStart"/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MWh</w:t>
      </w:r>
      <w:proofErr w:type="spellEnd"/>
    </w:p>
    <w:p w14:paraId="74D47452" w14:textId="77777777" w:rsidR="00EA67C1" w:rsidRPr="00EA67C1" w:rsidRDefault="00EA67C1" w:rsidP="00EA67C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70% inflexível: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490 R$/</w:t>
      </w:r>
      <w:proofErr w:type="spellStart"/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MWh</w:t>
      </w:r>
      <w:proofErr w:type="spellEnd"/>
    </w:p>
    <w:p w14:paraId="157F50D9" w14:textId="77777777" w:rsidR="00EA67C1" w:rsidRPr="00EA67C1" w:rsidRDefault="00EA67C1" w:rsidP="00EA67C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100% inflexível: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430 R$/</w:t>
      </w:r>
      <w:proofErr w:type="spellStart"/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MWh</w:t>
      </w:r>
      <w:proofErr w:type="spellEnd"/>
    </w:p>
    <w:p w14:paraId="504D4D67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definidos ainda:</w:t>
      </w:r>
    </w:p>
    <w:p w14:paraId="409F4794" w14:textId="77777777" w:rsidR="00EA67C1" w:rsidRPr="00EA67C1" w:rsidRDefault="00EA67C1" w:rsidP="00EA67C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preço de referência do gás: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12 US$/</w:t>
      </w:r>
      <w:proofErr w:type="spellStart"/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MMBtu</w:t>
      </w:r>
      <w:proofErr w:type="spellEnd"/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989C678" w14:textId="77777777" w:rsidR="00EA67C1" w:rsidRPr="00EA67C1" w:rsidRDefault="00EA67C1" w:rsidP="00EA67C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perdas: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4,5%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58FAAEE" w14:textId="77777777" w:rsidR="00EA67C1" w:rsidRPr="00EA67C1" w:rsidRDefault="00EA67C1" w:rsidP="00EA67C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impostos e encargos incidentes.</w:t>
      </w:r>
    </w:p>
    <w:p w14:paraId="239D554A" w14:textId="77777777" w:rsidR="00EA67C1" w:rsidRPr="00EA67C1" w:rsidRDefault="00EA67C1" w:rsidP="00EA67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55294507">
          <v:rect id="_x0000_i1030" style="width:0;height:1.5pt" o:hralign="center" o:hrstd="t" o:hr="t" fillcolor="#a0a0a0" stroked="f"/>
        </w:pict>
      </w:r>
    </w:p>
    <w:p w14:paraId="65DDAFDA" w14:textId="77777777" w:rsidR="00EA67C1" w:rsidRPr="00EA67C1" w:rsidRDefault="00EA67C1" w:rsidP="00EA67C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 Custos da transmissão</w:t>
      </w:r>
    </w:p>
    <w:p w14:paraId="04B03257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Nas páginas 20 a 22:</w:t>
      </w:r>
    </w:p>
    <w:p w14:paraId="7687D58C" w14:textId="77777777" w:rsidR="00EA67C1" w:rsidRPr="00EA67C1" w:rsidRDefault="00EA67C1" w:rsidP="00EA67C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Taxa de desconto: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8% </w:t>
      </w:r>
      <w:proofErr w:type="spellStart"/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a.a.</w:t>
      </w:r>
      <w:proofErr w:type="spellEnd"/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real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4184090" w14:textId="77777777" w:rsidR="00EA67C1" w:rsidRPr="00EA67C1" w:rsidRDefault="00EA67C1" w:rsidP="00EA67C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Vida útil econômica da transmissão: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25 anos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171B2F2" w14:textId="77777777" w:rsidR="00EA67C1" w:rsidRPr="00EA67C1" w:rsidRDefault="00EA67C1" w:rsidP="00EA67C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Relação custo anual / investimento: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13%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harmonizada com a metodologia da RAP-Teto da ANEEL.</w:t>
      </w:r>
    </w:p>
    <w:p w14:paraId="41EAD790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 da página 22: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347"/>
        <w:gridCol w:w="2875"/>
      </w:tblGrid>
      <w:tr w:rsidR="00EA67C1" w:rsidRPr="00EA67C1" w14:paraId="4E918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C8D7F" w14:textId="77777777" w:rsidR="00EA67C1" w:rsidRPr="00EA67C1" w:rsidRDefault="00EA67C1" w:rsidP="00EA67C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Interligação</w:t>
            </w:r>
          </w:p>
        </w:tc>
        <w:tc>
          <w:tcPr>
            <w:tcW w:w="0" w:type="auto"/>
            <w:vAlign w:val="center"/>
            <w:hideMark/>
          </w:tcPr>
          <w:p w14:paraId="1EAD2757" w14:textId="77777777" w:rsidR="00EA67C1" w:rsidRPr="00EA67C1" w:rsidRDefault="00EA67C1" w:rsidP="00EA67C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Investimento (R$/kW)</w:t>
            </w:r>
          </w:p>
        </w:tc>
        <w:tc>
          <w:tcPr>
            <w:tcW w:w="0" w:type="auto"/>
            <w:vAlign w:val="center"/>
            <w:hideMark/>
          </w:tcPr>
          <w:p w14:paraId="73CB0527" w14:textId="77777777" w:rsidR="00EA67C1" w:rsidRPr="00EA67C1" w:rsidRDefault="00EA67C1" w:rsidP="00EA67C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Custo mensal (R$/kW/mês)</w:t>
            </w:r>
          </w:p>
        </w:tc>
      </w:tr>
      <w:tr w:rsidR="00EA67C1" w:rsidRPr="00EA67C1" w14:paraId="67804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C417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Norte–Sudeste</w:t>
            </w:r>
          </w:p>
        </w:tc>
        <w:tc>
          <w:tcPr>
            <w:tcW w:w="0" w:type="auto"/>
            <w:vAlign w:val="center"/>
            <w:hideMark/>
          </w:tcPr>
          <w:p w14:paraId="63727A6C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5.500</w:t>
            </w:r>
          </w:p>
        </w:tc>
        <w:tc>
          <w:tcPr>
            <w:tcW w:w="0" w:type="auto"/>
            <w:vAlign w:val="center"/>
            <w:hideMark/>
          </w:tcPr>
          <w:p w14:paraId="39CF79CB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59,58</w:t>
            </w:r>
          </w:p>
        </w:tc>
      </w:tr>
      <w:tr w:rsidR="00EA67C1" w:rsidRPr="00EA67C1" w14:paraId="56E66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ACF7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Nordeste–Sudeste</w:t>
            </w:r>
          </w:p>
        </w:tc>
        <w:tc>
          <w:tcPr>
            <w:tcW w:w="0" w:type="auto"/>
            <w:vAlign w:val="center"/>
            <w:hideMark/>
          </w:tcPr>
          <w:p w14:paraId="33424E1B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5.433</w:t>
            </w:r>
          </w:p>
        </w:tc>
        <w:tc>
          <w:tcPr>
            <w:tcW w:w="0" w:type="auto"/>
            <w:vAlign w:val="center"/>
            <w:hideMark/>
          </w:tcPr>
          <w:p w14:paraId="11BB3B80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58,86</w:t>
            </w:r>
          </w:p>
        </w:tc>
      </w:tr>
      <w:tr w:rsidR="00EA67C1" w:rsidRPr="00EA67C1" w14:paraId="67878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1C6D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Nordeste–Sul</w:t>
            </w:r>
          </w:p>
        </w:tc>
        <w:tc>
          <w:tcPr>
            <w:tcW w:w="0" w:type="auto"/>
            <w:vAlign w:val="center"/>
            <w:hideMark/>
          </w:tcPr>
          <w:p w14:paraId="60A8756F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6.600</w:t>
            </w:r>
          </w:p>
        </w:tc>
        <w:tc>
          <w:tcPr>
            <w:tcW w:w="0" w:type="auto"/>
            <w:vAlign w:val="center"/>
            <w:hideMark/>
          </w:tcPr>
          <w:p w14:paraId="39AE1C7C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71,50</w:t>
            </w:r>
          </w:p>
        </w:tc>
      </w:tr>
      <w:tr w:rsidR="00EA67C1" w:rsidRPr="00EA67C1" w14:paraId="7CDF6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3B26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Sul–Sudeste</w:t>
            </w:r>
          </w:p>
        </w:tc>
        <w:tc>
          <w:tcPr>
            <w:tcW w:w="0" w:type="auto"/>
            <w:vAlign w:val="center"/>
            <w:hideMark/>
          </w:tcPr>
          <w:p w14:paraId="6894F22D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3.130</w:t>
            </w:r>
          </w:p>
        </w:tc>
        <w:tc>
          <w:tcPr>
            <w:tcW w:w="0" w:type="auto"/>
            <w:vAlign w:val="center"/>
            <w:hideMark/>
          </w:tcPr>
          <w:p w14:paraId="351B8C3A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33,91</w:t>
            </w:r>
          </w:p>
        </w:tc>
      </w:tr>
    </w:tbl>
    <w:p w14:paraId="2236A1EA" w14:textId="77777777" w:rsidR="00EA67C1" w:rsidRPr="00EA67C1" w:rsidRDefault="00EA67C1" w:rsidP="00EA67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4A00AD">
          <v:rect id="_x0000_i1031" style="width:0;height:1.5pt" o:hralign="center" o:hrstd="t" o:hr="t" fillcolor="#a0a0a0" stroked="f"/>
        </w:pict>
      </w:r>
    </w:p>
    <w:p w14:paraId="24EE41C9" w14:textId="77777777" w:rsidR="00EA67C1" w:rsidRPr="00EA67C1" w:rsidRDefault="00EA67C1" w:rsidP="00EA67C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face à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1"/>
        <w:gridCol w:w="1089"/>
      </w:tblGrid>
      <w:tr w:rsidR="00EA67C1" w:rsidRPr="00EA67C1" w14:paraId="0862A3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E8333" w14:textId="77777777" w:rsidR="00EA67C1" w:rsidRPr="00EA67C1" w:rsidRDefault="00EA67C1" w:rsidP="00EA67C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BDC2ACC" w14:textId="77777777" w:rsidR="00EA67C1" w:rsidRPr="00EA67C1" w:rsidRDefault="00EA67C1" w:rsidP="00EA67C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A67C1" w:rsidRPr="00EA67C1" w14:paraId="1E0B2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0668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física de linhas de transmissão</w:t>
            </w:r>
          </w:p>
        </w:tc>
        <w:tc>
          <w:tcPr>
            <w:tcW w:w="0" w:type="auto"/>
            <w:vAlign w:val="center"/>
            <w:hideMark/>
          </w:tcPr>
          <w:p w14:paraId="25E6B06E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A67C1" w:rsidRPr="00EA67C1" w14:paraId="46192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8446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8B22A99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A67C1" w:rsidRPr="00EA67C1" w14:paraId="7F5DB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3EB8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045D038C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A67C1" w:rsidRPr="00EA67C1" w14:paraId="7E9DE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5CAD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 mecânica</w:t>
            </w:r>
          </w:p>
        </w:tc>
        <w:tc>
          <w:tcPr>
            <w:tcW w:w="0" w:type="auto"/>
            <w:vAlign w:val="center"/>
            <w:hideMark/>
          </w:tcPr>
          <w:p w14:paraId="29E62ECB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A67C1" w:rsidRPr="00EA67C1" w14:paraId="48FFA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C6C0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Modelos de dano</w:t>
            </w:r>
          </w:p>
        </w:tc>
        <w:tc>
          <w:tcPr>
            <w:tcW w:w="0" w:type="auto"/>
            <w:vAlign w:val="center"/>
            <w:hideMark/>
          </w:tcPr>
          <w:p w14:paraId="5AD56E91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A67C1" w:rsidRPr="00EA67C1" w14:paraId="22E85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2F4B3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recuperação</w:t>
            </w:r>
          </w:p>
        </w:tc>
        <w:tc>
          <w:tcPr>
            <w:tcW w:w="0" w:type="auto"/>
            <w:vAlign w:val="center"/>
            <w:hideMark/>
          </w:tcPr>
          <w:p w14:paraId="6502439A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A67C1" w:rsidRPr="00EA67C1" w14:paraId="4B4CB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BA88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econômica e de planejamento</w:t>
            </w:r>
          </w:p>
        </w:tc>
        <w:tc>
          <w:tcPr>
            <w:tcW w:w="0" w:type="auto"/>
            <w:vAlign w:val="center"/>
            <w:hideMark/>
          </w:tcPr>
          <w:p w14:paraId="659CCC0B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A67C1" w:rsidRPr="00EA67C1" w14:paraId="713EC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9816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Custo de reposição e investimento</w:t>
            </w:r>
          </w:p>
        </w:tc>
        <w:tc>
          <w:tcPr>
            <w:tcW w:w="0" w:type="auto"/>
            <w:vAlign w:val="center"/>
            <w:hideMark/>
          </w:tcPr>
          <w:p w14:paraId="3CBE7296" w14:textId="77777777" w:rsidR="00EA67C1" w:rsidRPr="00EA67C1" w:rsidRDefault="00EA67C1" w:rsidP="00EA67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67C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0FAE0DD4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documento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 de resiliência física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sim de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econômica e de capacidade de expansão do sistema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3554114" w14:textId="77777777" w:rsidR="00EA67C1" w:rsidRPr="00EA67C1" w:rsidRDefault="00EA67C1" w:rsidP="00EA67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08AC3C">
          <v:rect id="_x0000_i1032" style="width:0;height:1.5pt" o:hralign="center" o:hrstd="t" o:hr="t" fillcolor="#a0a0a0" stroked="f"/>
        </w:pict>
      </w:r>
    </w:p>
    <w:p w14:paraId="18AE658C" w14:textId="77777777" w:rsidR="00EA67C1" w:rsidRPr="00EA67C1" w:rsidRDefault="00EA67C1" w:rsidP="00EA67C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</w:t>
      </w:r>
    </w:p>
    <w:p w14:paraId="757A780F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documento é extremamente útil para:</w:t>
      </w:r>
    </w:p>
    <w:p w14:paraId="765CCD3C" w14:textId="77777777" w:rsidR="00EA67C1" w:rsidRPr="00EA67C1" w:rsidRDefault="00EA67C1" w:rsidP="00EA67C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econômico das falhas em LT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3A6550" w14:textId="77777777" w:rsidR="00EA67C1" w:rsidRPr="00EA67C1" w:rsidRDefault="00EA67C1" w:rsidP="00EA67C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parametrizar:</w:t>
      </w:r>
    </w:p>
    <w:p w14:paraId="184DAB45" w14:textId="77777777" w:rsidR="00EA67C1" w:rsidRPr="00EA67C1" w:rsidRDefault="00EA67C1" w:rsidP="00EA67C1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de reconstrução,</w:t>
      </w:r>
    </w:p>
    <w:p w14:paraId="76B03D8C" w14:textId="77777777" w:rsidR="00EA67C1" w:rsidRPr="00EA67C1" w:rsidRDefault="00EA67C1" w:rsidP="00EA67C1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de reforço estrutural,</w:t>
      </w:r>
    </w:p>
    <w:p w14:paraId="623608A3" w14:textId="77777777" w:rsidR="00EA67C1" w:rsidRPr="00EA67C1" w:rsidRDefault="00EA67C1" w:rsidP="00EA67C1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análise custo-benefício de medidas de resiliência;</w:t>
      </w:r>
    </w:p>
    <w:p w14:paraId="4DF63AE4" w14:textId="77777777" w:rsidR="00EA67C1" w:rsidRPr="00EA67C1" w:rsidRDefault="00EA67C1" w:rsidP="00EA67C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que a sua tese não é apenas técnica, mas também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economicamente defensável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A3E2952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entra no eixo:</w:t>
      </w:r>
    </w:p>
    <w:p w14:paraId="3DC42F97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“Resiliência das Linhas de Transmissão como problema técnico-econômico”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A6296FD" w14:textId="77777777" w:rsidR="00EA67C1" w:rsidRPr="00EA67C1" w:rsidRDefault="00EA67C1" w:rsidP="00EA67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C46D43">
          <v:rect id="_x0000_i1033" style="width:0;height:1.5pt" o:hralign="center" o:hrstd="t" o:hr="t" fillcolor="#a0a0a0" stroked="f"/>
        </w:pict>
      </w:r>
    </w:p>
    <w:p w14:paraId="2347274D" w14:textId="77777777" w:rsidR="00EA67C1" w:rsidRPr="00EA67C1" w:rsidRDefault="00EA67C1" w:rsidP="00EA67C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fundamentada</w:t>
      </w:r>
    </w:p>
    <w:p w14:paraId="7BBB8212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6379E938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Embora não seja científico nem trate de fragilidade física, é um documento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estratégico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oficial e indispensável para:</w:t>
      </w:r>
    </w:p>
    <w:p w14:paraId="56F4ECC6" w14:textId="77777777" w:rsidR="00EA67C1" w:rsidRPr="00EA67C1" w:rsidRDefault="00EA67C1" w:rsidP="00EA67C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quantificação econômica dos resultados da sua tese;</w:t>
      </w:r>
    </w:p>
    <w:p w14:paraId="0D2C4332" w14:textId="77777777" w:rsidR="00EA67C1" w:rsidRPr="00EA67C1" w:rsidRDefault="00EA67C1" w:rsidP="00EA67C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realista de custos de transmissão;</w:t>
      </w:r>
    </w:p>
    <w:p w14:paraId="761A91C7" w14:textId="77777777" w:rsidR="00EA67C1" w:rsidRPr="00EA67C1" w:rsidRDefault="00EA67C1" w:rsidP="00EA67C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articulação com políticas públicas.</w:t>
      </w:r>
    </w:p>
    <w:p w14:paraId="74577D78" w14:textId="77777777" w:rsidR="00EA67C1" w:rsidRPr="00EA67C1" w:rsidRDefault="00EA67C1" w:rsidP="00EA67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A079A9">
          <v:rect id="_x0000_i1034" style="width:0;height:1.5pt" o:hralign="center" o:hrstd="t" o:hr="t" fillcolor="#a0a0a0" stroked="f"/>
        </w:pict>
      </w:r>
    </w:p>
    <w:p w14:paraId="5B75604D" w14:textId="77777777" w:rsidR="00EA67C1" w:rsidRPr="00EA67C1" w:rsidRDefault="00EA67C1" w:rsidP="00EA67C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40FC3F9E" w14:textId="77777777" w:rsidR="00EA67C1" w:rsidRPr="00EA67C1" w:rsidRDefault="00EA67C1" w:rsidP="00EA67C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8215B7A" w14:textId="77777777" w:rsidR="00EA67C1" w:rsidRPr="00EA67C1" w:rsidRDefault="00EA67C1" w:rsidP="00EA67C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Parâmetros oficiais de custos de geração e transmissão para planejamento energético</w:t>
      </w:r>
    </w:p>
    <w:p w14:paraId="22BF3150" w14:textId="77777777" w:rsidR="00EA67C1" w:rsidRPr="00EA67C1" w:rsidRDefault="00EA67C1" w:rsidP="00EA67C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1BD3834F" w14:textId="77777777" w:rsidR="00EA67C1" w:rsidRPr="00EA67C1" w:rsidRDefault="00EA67C1" w:rsidP="00EA67C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1C613ED9" w14:textId="77777777" w:rsidR="00EA67C1" w:rsidRPr="00EA67C1" w:rsidRDefault="00EA67C1" w:rsidP="00EA67C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59B4D9CE" w14:textId="77777777" w:rsidR="00EA67C1" w:rsidRPr="00EA67C1" w:rsidRDefault="00EA67C1" w:rsidP="00EA67C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econômica</w:t>
      </w:r>
    </w:p>
    <w:p w14:paraId="0A149EE9" w14:textId="77777777" w:rsidR="00EA67C1" w:rsidRPr="00EA67C1" w:rsidRDefault="00EA67C1" w:rsidP="00EA67C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custo-benefício das soluções de resiliência</w:t>
      </w:r>
    </w:p>
    <w:p w14:paraId="542119C6" w14:textId="77777777" w:rsidR="00EA67C1" w:rsidRPr="00EA67C1" w:rsidRDefault="00EA67C1" w:rsidP="00EA67C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A67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14E6A590" w14:textId="77777777" w:rsidR="00EA67C1" w:rsidRPr="00EA67C1" w:rsidRDefault="00EA67C1" w:rsidP="00EA67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680576">
          <v:rect id="_x0000_i1035" style="width:0;height:1.5pt" o:hralign="center" o:hrstd="t" o:hr="t" fillcolor="#a0a0a0" stroked="f"/>
        </w:pict>
      </w:r>
    </w:p>
    <w:p w14:paraId="6F6A369D" w14:textId="77777777" w:rsidR="00EA67C1" w:rsidRPr="00EA67C1" w:rsidRDefault="00EA67C1" w:rsidP="00EA67C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67C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Referência (IEEE)</w:t>
      </w:r>
    </w:p>
    <w:p w14:paraId="58BE12CE" w14:textId="77777777" w:rsidR="00EA67C1" w:rsidRPr="00EA67C1" w:rsidRDefault="00EA67C1" w:rsidP="00EA67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[1] Empresa de Pesquisa Energética (EPE), </w:t>
      </w:r>
      <w:r w:rsidRPr="00EA67C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PDE 2035: Estudos do Plano Decenal de Expansão de Energia 2035 – Parâmetros de Custos da Geração e Transmissão</w:t>
      </w:r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Rio de Janeiro, Brasil, </w:t>
      </w:r>
      <w:proofErr w:type="gramStart"/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Nov.</w:t>
      </w:r>
      <w:proofErr w:type="gramEnd"/>
      <w:r w:rsidRPr="00EA67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2025.</w:t>
      </w:r>
    </w:p>
    <w:p w14:paraId="1FD66520" w14:textId="77777777" w:rsidR="009E6626" w:rsidRDefault="009E6626"/>
    <w:sectPr w:rsidR="009E662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6348A"/>
    <w:multiLevelType w:val="multilevel"/>
    <w:tmpl w:val="BCEC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C4674"/>
    <w:multiLevelType w:val="multilevel"/>
    <w:tmpl w:val="0E18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62D45"/>
    <w:multiLevelType w:val="multilevel"/>
    <w:tmpl w:val="E1B6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E0CD6"/>
    <w:multiLevelType w:val="multilevel"/>
    <w:tmpl w:val="5D4C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E6174"/>
    <w:multiLevelType w:val="multilevel"/>
    <w:tmpl w:val="F91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63C60"/>
    <w:multiLevelType w:val="multilevel"/>
    <w:tmpl w:val="F25C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D0938"/>
    <w:multiLevelType w:val="multilevel"/>
    <w:tmpl w:val="A462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E5A99"/>
    <w:multiLevelType w:val="multilevel"/>
    <w:tmpl w:val="D0F8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D3A1D"/>
    <w:multiLevelType w:val="multilevel"/>
    <w:tmpl w:val="4CC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E13F8"/>
    <w:multiLevelType w:val="multilevel"/>
    <w:tmpl w:val="841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76E63"/>
    <w:multiLevelType w:val="multilevel"/>
    <w:tmpl w:val="1822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0812">
    <w:abstractNumId w:val="2"/>
  </w:num>
  <w:num w:numId="2" w16cid:durableId="343820771">
    <w:abstractNumId w:val="6"/>
  </w:num>
  <w:num w:numId="3" w16cid:durableId="1627465127">
    <w:abstractNumId w:val="9"/>
  </w:num>
  <w:num w:numId="4" w16cid:durableId="301077673">
    <w:abstractNumId w:val="0"/>
  </w:num>
  <w:num w:numId="5" w16cid:durableId="1723749894">
    <w:abstractNumId w:val="5"/>
  </w:num>
  <w:num w:numId="6" w16cid:durableId="1487697997">
    <w:abstractNumId w:val="7"/>
  </w:num>
  <w:num w:numId="7" w16cid:durableId="555508594">
    <w:abstractNumId w:val="10"/>
  </w:num>
  <w:num w:numId="8" w16cid:durableId="1956980390">
    <w:abstractNumId w:val="8"/>
  </w:num>
  <w:num w:numId="9" w16cid:durableId="1100956227">
    <w:abstractNumId w:val="3"/>
  </w:num>
  <w:num w:numId="10" w16cid:durableId="1808889441">
    <w:abstractNumId w:val="1"/>
  </w:num>
  <w:num w:numId="11" w16cid:durableId="1176073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9E6626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A67C1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A04D0"/>
  <w15:chartTrackingRefBased/>
  <w15:docId w15:val="{B8D1244D-1DDC-4F0D-845E-00477A92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6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62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62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62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62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62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62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62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62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62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E6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2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E66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67C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A67C1"/>
    <w:rPr>
      <w:b/>
      <w:bCs/>
    </w:rPr>
  </w:style>
  <w:style w:type="character" w:styleId="Emphasis">
    <w:name w:val="Emphasis"/>
    <w:basedOn w:val="DefaultParagraphFont"/>
    <w:uiPriority w:val="20"/>
    <w:qFormat/>
    <w:rsid w:val="00EA67C1"/>
    <w:rPr>
      <w:i/>
      <w:iCs/>
    </w:rPr>
  </w:style>
  <w:style w:type="character" w:customStyle="1" w:styleId="relative">
    <w:name w:val="relative"/>
    <w:basedOn w:val="DefaultParagraphFont"/>
    <w:rsid w:val="00EA67C1"/>
  </w:style>
  <w:style w:type="paragraph" w:customStyle="1" w:styleId="not-prose">
    <w:name w:val="not-prose"/>
    <w:basedOn w:val="Normal"/>
    <w:rsid w:val="00EA67C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706</Words>
  <Characters>3816</Characters>
  <Application>Microsoft Office Word</Application>
  <DocSecurity>0</DocSecurity>
  <Lines>31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2026-01-12T16:35:00Z</dcterms:created>
  <dcterms:modified xsi:type="dcterms:W3CDTF">2026-01-12T16:35:00Z</dcterms:modified>
</cp:coreProperties>
</file>