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D1A66" w14:textId="1ABBAC84" w:rsidR="00AC5231" w:rsidRDefault="003C1119">
      <w:pPr>
        <w:rPr>
          <w:lang w:val="en-US"/>
        </w:rPr>
      </w:pPr>
      <w:r w:rsidRPr="003C1119">
        <w:rPr>
          <w:lang w:val="en-US"/>
        </w:rPr>
        <w:t>2025 Resilient Unit Commitment for Transmission Lines Hardening Under Endogenous Uncertainties-IEEE</w:t>
      </w:r>
    </w:p>
    <w:p w14:paraId="502EAA53" w14:textId="77777777" w:rsidR="003C1119" w:rsidRDefault="003C1119">
      <w:pPr>
        <w:rPr>
          <w:lang w:val="en-US"/>
        </w:rPr>
      </w:pPr>
    </w:p>
    <w:p w14:paraId="626F7FA1" w14:textId="77777777" w:rsidR="008902AF" w:rsidRPr="008902AF" w:rsidRDefault="008902AF" w:rsidP="008902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8902AF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(2025 / IEEE Transactions on Power Systems)</w:t>
      </w:r>
    </w:p>
    <w:p w14:paraId="6A8039B9" w14:textId="77777777" w:rsidR="008902AF" w:rsidRPr="008902AF" w:rsidRDefault="008902AF" w:rsidP="008902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902A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8902A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8902A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Resilient Unit Commitment for Transmission Lines Hardening Under Endogenous Uncertainties</w:t>
      </w:r>
      <w:r w:rsidRPr="008902A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5433602C" w14:textId="77777777" w:rsidR="008902AF" w:rsidRPr="008902AF" w:rsidRDefault="008902AF" w:rsidP="008902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Resilient Unit Commitment …</w:t>
      </w:r>
    </w:p>
    <w:p w14:paraId="51FD5C63" w14:textId="77777777" w:rsidR="008902AF" w:rsidRPr="008902AF" w:rsidRDefault="008902AF" w:rsidP="008902AF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8902A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Xiang Yang; Xinghua Liu; Tianyang Zhao; Gaoxi Xiao; Bangji Fan; Shengwei Liu; Peng Wang </w:t>
      </w:r>
    </w:p>
    <w:p w14:paraId="7FCE2B16" w14:textId="77777777" w:rsidR="008902AF" w:rsidRPr="008902AF" w:rsidRDefault="008902AF" w:rsidP="008902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Resilient Unit Commitment …</w:t>
      </w:r>
    </w:p>
    <w:p w14:paraId="2357E521" w14:textId="77777777" w:rsidR="008902AF" w:rsidRPr="008902AF" w:rsidRDefault="008902AF" w:rsidP="008902AF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8902A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8902A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Transactions on Power Systems</w:t>
      </w:r>
      <w:r w:rsidRPr="008902A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40, no. 1, Jan. 2025 </w:t>
      </w:r>
    </w:p>
    <w:p w14:paraId="7DFDD975" w14:textId="77777777" w:rsidR="008902AF" w:rsidRPr="008902AF" w:rsidRDefault="008902AF" w:rsidP="008902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Resilient Unit Commitment …</w:t>
      </w:r>
    </w:p>
    <w:p w14:paraId="0E8C5FBC" w14:textId="77777777" w:rsidR="008902AF" w:rsidRPr="008902AF" w:rsidRDefault="008902AF" w:rsidP="008902A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E508EB">
          <v:rect id="_x0000_i1025" style="width:0;height:1.5pt" o:hralign="center" o:hrstd="t" o:hr="t" fillcolor="#a0a0a0" stroked="f"/>
        </w:pict>
      </w:r>
    </w:p>
    <w:p w14:paraId="3A415716" w14:textId="77777777" w:rsidR="008902AF" w:rsidRPr="008902AF" w:rsidRDefault="008902AF" w:rsidP="008902A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8902AF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1) Foco real do artigo</w:t>
      </w:r>
    </w:p>
    <w:p w14:paraId="77B6ABC6" w14:textId="77777777" w:rsidR="008902AF" w:rsidRPr="008902AF" w:rsidRDefault="008902AF" w:rsidP="008902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Resilient Unit Commitment (UC)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coordena endurecimento (hardening) de linhas de transmissão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decisões de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despacho/compromisso e reserva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enfrentar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furacões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formulando o problema como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Two-Stage Robust Optimization (TRO)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 endógena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5E8C164" w14:textId="77777777" w:rsidR="008902AF" w:rsidRPr="008902AF" w:rsidRDefault="008902AF" w:rsidP="008902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ponto central é que o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de falha/operabilidade das linhas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 sua evolução com dano e reparo)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depende das decisões de hardening e reserva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tomadas no 1º estágio — logo, a incerteza não é “exógena”, mas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endógena ao plano de defesa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D4FF9E9" w14:textId="77777777" w:rsidR="008902AF" w:rsidRPr="008902AF" w:rsidRDefault="008902AF" w:rsidP="008902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real: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de transmissão sob evento extremo,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acoplada a decisões preventivas (hardening) e operacionais (UC+reserva)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via robustez em dois estágios, com geração explícita do pior caso de falhas de LT.</w:t>
      </w:r>
    </w:p>
    <w:p w14:paraId="40333EA7" w14:textId="77777777" w:rsidR="008902AF" w:rsidRPr="008902AF" w:rsidRDefault="008902AF" w:rsidP="008902A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93E655">
          <v:rect id="_x0000_i1026" style="width:0;height:1.5pt" o:hralign="center" o:hrstd="t" o:hr="t" fillcolor="#a0a0a0" stroked="f"/>
        </w:pict>
      </w:r>
    </w:p>
    <w:p w14:paraId="08F772CD" w14:textId="77777777" w:rsidR="008902AF" w:rsidRPr="008902AF" w:rsidRDefault="008902AF" w:rsidP="008902A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8902AF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2) Contribuições técnicas</w:t>
      </w:r>
    </w:p>
    <w:p w14:paraId="17FBC5B1" w14:textId="77777777" w:rsidR="008902AF" w:rsidRPr="008902AF" w:rsidRDefault="008902AF" w:rsidP="008902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902A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2.1 Modelagem explícita clima → falha física de LT (torres + segmentos de condutor)</w:t>
      </w:r>
    </w:p>
    <w:p w14:paraId="30DBD904" w14:textId="77777777" w:rsidR="008902AF" w:rsidRPr="008902AF" w:rsidRDefault="008902AF" w:rsidP="008902A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 furacão é simulado por trajetória com amostragem de variáveis (velocidade de translação, direção e “pressure deficit”), incorporando dados espaço-temporais do evento.</w:t>
      </w:r>
    </w:p>
    <w:p w14:paraId="7D212D64" w14:textId="77777777" w:rsidR="008902AF" w:rsidRPr="008902AF" w:rsidRDefault="008902AF" w:rsidP="008902A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falha de LT é decomposta em:</w:t>
      </w:r>
    </w:p>
    <w:p w14:paraId="7CD74558" w14:textId="77777777" w:rsidR="008902AF" w:rsidRPr="008902AF" w:rsidRDefault="008902AF" w:rsidP="008902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de torre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probabilidade via integral de distribuição (Eq. (4));</w:t>
      </w:r>
    </w:p>
    <w:p w14:paraId="698C3016" w14:textId="77777777" w:rsidR="008902AF" w:rsidRPr="008902AF" w:rsidRDefault="008902AF" w:rsidP="008902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de segmentos de condutor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expressão exponencial dependente de grandezas do vento e parâmetros (Eq. (5));</w:t>
      </w:r>
    </w:p>
    <w:p w14:paraId="421DA438" w14:textId="77777777" w:rsidR="008902AF" w:rsidRPr="008902AF" w:rsidRDefault="008902AF" w:rsidP="008902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probabilidade total da linha por composição (Eq. (6)) com produto de sobrevivência dos elementos.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902A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Isso é relevante para sua tese porque explicita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componentização física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(torre + condutor) e o mapeamento do hazard em probabilidade de falha.</w:t>
      </w:r>
    </w:p>
    <w:p w14:paraId="0631C539" w14:textId="77777777" w:rsidR="008902AF" w:rsidRPr="008902AF" w:rsidRDefault="008902AF" w:rsidP="008902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902A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2.2 Incerteza endógena (DDU) para estados de falha, operação e reparo de linhas</w:t>
      </w:r>
    </w:p>
    <w:p w14:paraId="3E67DD1F" w14:textId="77777777" w:rsidR="008902AF" w:rsidRPr="008902AF" w:rsidRDefault="008902AF" w:rsidP="008902A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Define um conjunto de incerteza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U(x)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tipo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poliedral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depende do vetor de decisão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x</m:t>
        </m:r>
      </m:oMath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(hardening), i.e.,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U(x):={u∈{0,1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}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  <m:t>u</m:t>
                </m:r>
              </m:sub>
            </m:sSub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∣Cu≤g+Nx}</m:t>
        </m:r>
      </m:oMath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19AB7B1" w14:textId="77777777" w:rsidR="008902AF" w:rsidRPr="008902AF" w:rsidRDefault="008902AF" w:rsidP="008902A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Introduz restrições que ligam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falha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um limiar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Π</m:t>
        </m:r>
      </m:oMath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para “ativar” falhas no horizonte (Eq. (7)) e descreve transições entre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falha, reparo e operação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(Eq. (</w:t>
      </w:r>
      <w:proofErr w:type="gramStart"/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8)–</w:t>
      </w:r>
      <w:proofErr w:type="gramEnd"/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(10)), impondo coerência temporal e limites de simultaneidade.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902A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Contribuição-chave: formalizar que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reforçar uma linha altera a região viável de cenários de falha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(incerteza dependente da decisão), o que é precisamente o tipo de modelagem que faltava em muitos trabalhos com incerteza exógena.</w:t>
      </w:r>
    </w:p>
    <w:p w14:paraId="1785DB71" w14:textId="77777777" w:rsidR="008902AF" w:rsidRPr="008902AF" w:rsidRDefault="008902AF" w:rsidP="008902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902A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2.3 Formulação TRO completa: custos preventivos + pior caso de shedding/curtailment</w:t>
      </w:r>
    </w:p>
    <w:p w14:paraId="0540453D" w14:textId="77777777" w:rsidR="008902AF" w:rsidRPr="008902AF" w:rsidRDefault="008902AF" w:rsidP="008902A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Objetivo: minimizar custos de start-up/shut-down, combustível, reservas e hardening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+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pior caso (sobre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u∈U(x)</m:t>
        </m:r>
      </m:oMath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 do custo de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 shedding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(VOLL) e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curtailment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(VOGC) no segundo estágio (Eq. (</w:t>
      </w:r>
      <w:proofErr w:type="gramStart"/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1)–</w:t>
      </w:r>
      <w:proofErr w:type="gramEnd"/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(3)). </w:t>
      </w:r>
    </w:p>
    <w:p w14:paraId="0DACD7B5" w14:textId="77777777" w:rsidR="008902AF" w:rsidRPr="008902AF" w:rsidRDefault="008902AF" w:rsidP="008902A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Resilient Unit Commitment …</w:t>
      </w:r>
    </w:p>
    <w:p w14:paraId="3ADBE41D" w14:textId="77777777" w:rsidR="008902AF" w:rsidRPr="008902AF" w:rsidRDefault="008902AF" w:rsidP="008902A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1º estágio inclui UC, despacho e reserva, rede (ângulos/fluxos) e hardening; o 2º estágio modela as ações pós-realização das incertezas (shedding/curtailment/estados).</w:t>
      </w:r>
    </w:p>
    <w:p w14:paraId="20CB1091" w14:textId="77777777" w:rsidR="008902AF" w:rsidRPr="008902AF" w:rsidRDefault="008902AF" w:rsidP="008902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902A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2.4 Enquadramento temporal realista para hardening “na janela de alerta”</w:t>
      </w:r>
    </w:p>
    <w:p w14:paraId="294750F6" w14:textId="77777777" w:rsidR="008902AF" w:rsidRPr="008902AF" w:rsidRDefault="008902AF" w:rsidP="008902A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Argumenta que existe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janela de aviso ~72 h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implementar hardening temporário (vegetation management, pole upgrades etc.), e alinha hardening e UC dentro desse intervalo (Fig. 1 e Remark 1).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902A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sua tese, isso reforça a distinção entre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medidas estruturais permanentes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vs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medidas temporárias/operacionais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como elas entram no ciclo de resiliência.</w:t>
      </w:r>
    </w:p>
    <w:p w14:paraId="2FF9AF61" w14:textId="77777777" w:rsidR="008902AF" w:rsidRPr="008902AF" w:rsidRDefault="008902AF" w:rsidP="008902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902A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2.5 Solução: C&amp;CG modificado para TRO com DDU (0–1)</w:t>
      </w:r>
    </w:p>
    <w:p w14:paraId="18C9F70E" w14:textId="77777777" w:rsidR="008902AF" w:rsidRPr="008902AF" w:rsidRDefault="008902AF" w:rsidP="008902A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Propõe um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Column-and-Constraint Generation (C&amp;CG)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modificado com “inverse initialization” e “endogenous cuts”, alegando melhor capacidade de “sensing” do pior caso e maior eficiência que variantes comparadas.</w:t>
      </w:r>
    </w:p>
    <w:p w14:paraId="17178D42" w14:textId="77777777" w:rsidR="008902AF" w:rsidRPr="008902AF" w:rsidRDefault="008902AF" w:rsidP="008902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902A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2.6 Evidência em sistemas teste de transmissão (RTS-79 e RTS-96)</w:t>
      </w:r>
    </w:p>
    <w:p w14:paraId="7D92E727" w14:textId="77777777" w:rsidR="008902AF" w:rsidRPr="008902AF" w:rsidRDefault="008902AF" w:rsidP="008902A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Testa em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RTS-79 modificado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(24 buses) e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two-area IEEE RTS-96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sob furacão, com parametrização explícita (VOLL, VOGC,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Π</m:t>
        </m:r>
      </m:oMath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custo de hardening por linha etc.).</w:t>
      </w:r>
    </w:p>
    <w:p w14:paraId="07BABCA1" w14:textId="77777777" w:rsidR="008902AF" w:rsidRPr="008902AF" w:rsidRDefault="008902AF" w:rsidP="008902A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de algoritmos: o método proposto identifica mais linhas falhadas no pior caso (ex.: “senses up to 18 failed transmission lines”) e reduz tempo computacional vs alternativas (Tabela VII e discussão).</w:t>
      </w:r>
    </w:p>
    <w:p w14:paraId="21E330E6" w14:textId="77777777" w:rsidR="008902AF" w:rsidRPr="008902AF" w:rsidRDefault="008902AF" w:rsidP="008902A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F815E2">
          <v:rect id="_x0000_i1027" style="width:0;height:1.5pt" o:hralign="center" o:hrstd="t" o:hr="t" fillcolor="#a0a0a0" stroked="f"/>
        </w:pict>
      </w:r>
    </w:p>
    <w:p w14:paraId="23D7BB2D" w14:textId="77777777" w:rsidR="008902AF" w:rsidRPr="008902AF" w:rsidRDefault="008902AF" w:rsidP="008902A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8902AF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3) Limitações críticas para a sua tese (decisivas)</w:t>
      </w:r>
    </w:p>
    <w:p w14:paraId="26347C19" w14:textId="77777777" w:rsidR="008902AF" w:rsidRPr="008902AF" w:rsidRDefault="008902AF" w:rsidP="008902A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medida indiretamente por custos/shedding/curtailment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o núcleo do desempenho é econômico-operacional; não há um índice físico dedicado à LT (tipo “índice de resiliência de LT” como você está criando).</w:t>
      </w:r>
    </w:p>
    <w:p w14:paraId="4689A140" w14:textId="77777777" w:rsidR="008902AF" w:rsidRPr="008902AF" w:rsidRDefault="008902AF" w:rsidP="008902A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 como variável binária por linha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captura decisão de reforço, mas não modela engenharia estrutural detalhada (torre/fundação/cadeias/condutores com mecânica/colapso progressivo).</w:t>
      </w:r>
    </w:p>
    <w:p w14:paraId="28FBE9BF" w14:textId="77777777" w:rsidR="008902AF" w:rsidRPr="008902AF" w:rsidRDefault="008902AF" w:rsidP="008902A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Escopo do dano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o próprio trabalho afirma que considera apenas impacto do furacão em linhas de transmissão (exclui outros danos como inundação e outros ativos), limitando a completude “sistêmica” do desastre.</w:t>
      </w:r>
    </w:p>
    <w:p w14:paraId="63430187" w14:textId="77777777" w:rsidR="008902AF" w:rsidRPr="008902AF" w:rsidRDefault="008902AF" w:rsidP="008902A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36C521F">
          <v:rect id="_x0000_i1028" style="width:0;height:1.5pt" o:hralign="center" o:hrstd="t" o:hr="t" fillcolor="#a0a0a0" stroked="f"/>
        </w:pict>
      </w:r>
    </w:p>
    <w:p w14:paraId="1C9E7A47" w14:textId="77777777" w:rsidR="008902AF" w:rsidRPr="008902AF" w:rsidRDefault="008902AF" w:rsidP="008902A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8902AF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4) Aderência ao tema da sua tese</w:t>
      </w:r>
    </w:p>
    <w:p w14:paraId="06C5AE4B" w14:textId="77777777" w:rsidR="008902AF" w:rsidRPr="008902AF" w:rsidRDefault="008902AF" w:rsidP="008902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3"/>
        <w:gridCol w:w="5609"/>
      </w:tblGrid>
      <w:tr w:rsidR="008902AF" w:rsidRPr="008902AF" w14:paraId="011F6F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C2512" w14:textId="77777777" w:rsidR="008902AF" w:rsidRPr="008902AF" w:rsidRDefault="008902AF" w:rsidP="008902A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2A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4E71BBA" w14:textId="77777777" w:rsidR="008902AF" w:rsidRPr="008902AF" w:rsidRDefault="008902AF" w:rsidP="008902A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2A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8902AF" w:rsidRPr="008902AF" w14:paraId="11EFF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6A0C1" w14:textId="77777777" w:rsidR="008902AF" w:rsidRPr="008902AF" w:rsidRDefault="008902AF" w:rsidP="008902A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2A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4F51D89E" w14:textId="77777777" w:rsidR="008902AF" w:rsidRPr="008902AF" w:rsidRDefault="008902AF" w:rsidP="008902A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2A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902AF" w:rsidRPr="008902AF" w14:paraId="557F5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D907" w14:textId="77777777" w:rsidR="008902AF" w:rsidRPr="008902AF" w:rsidRDefault="008902AF" w:rsidP="008902A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2A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2AB0A38E" w14:textId="77777777" w:rsidR="008902AF" w:rsidRPr="008902AF" w:rsidRDefault="008902AF" w:rsidP="008902A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2A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8902A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(furacões)</w:t>
            </w:r>
          </w:p>
        </w:tc>
      </w:tr>
      <w:tr w:rsidR="008902AF" w:rsidRPr="008902AF" w14:paraId="27763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7D97" w14:textId="77777777" w:rsidR="008902AF" w:rsidRPr="008902AF" w:rsidRDefault="008902AF" w:rsidP="008902A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2A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2EFFD409" w14:textId="77777777" w:rsidR="008902AF" w:rsidRPr="008902AF" w:rsidRDefault="008902AF" w:rsidP="008902A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2A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8902A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(torres + segmentos)</w:t>
            </w:r>
          </w:p>
        </w:tc>
      </w:tr>
      <w:tr w:rsidR="008902AF" w:rsidRPr="008902AF" w14:paraId="24FAB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A4A7B" w14:textId="77777777" w:rsidR="008902AF" w:rsidRPr="008902AF" w:rsidRDefault="008902AF" w:rsidP="008902A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2A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7D7843B2" w14:textId="77777777" w:rsidR="008902AF" w:rsidRPr="008902AF" w:rsidRDefault="008902AF" w:rsidP="008902A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2A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8902A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(probabilística; sem mecânica detalhada) </w:t>
            </w:r>
          </w:p>
          <w:p w14:paraId="09C9FCFA" w14:textId="77777777" w:rsidR="008902AF" w:rsidRPr="008902AF" w:rsidRDefault="008902AF" w:rsidP="008902AF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2A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2025 Resilient Unit Commitment …</w:t>
            </w:r>
          </w:p>
        </w:tc>
      </w:tr>
      <w:tr w:rsidR="008902AF" w:rsidRPr="008902AF" w14:paraId="420EB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34E1C" w14:textId="77777777" w:rsidR="008902AF" w:rsidRPr="008902AF" w:rsidRDefault="008902AF" w:rsidP="008902A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2A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30F8562C" w14:textId="77777777" w:rsidR="008902AF" w:rsidRPr="008902AF" w:rsidRDefault="008902AF" w:rsidP="008902A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2A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8902A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(reparo modelado como estado/ação; não logística real)</w:t>
            </w:r>
          </w:p>
        </w:tc>
      </w:tr>
      <w:tr w:rsidR="008902AF" w:rsidRPr="008902AF" w14:paraId="7D269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D5D81" w14:textId="77777777" w:rsidR="008902AF" w:rsidRPr="008902AF" w:rsidRDefault="008902AF" w:rsidP="008902A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2A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</w:t>
            </w:r>
          </w:p>
        </w:tc>
        <w:tc>
          <w:tcPr>
            <w:tcW w:w="0" w:type="auto"/>
            <w:vAlign w:val="center"/>
            <w:hideMark/>
          </w:tcPr>
          <w:p w14:paraId="3AF8FD9F" w14:textId="77777777" w:rsidR="008902AF" w:rsidRPr="008902AF" w:rsidRDefault="008902AF" w:rsidP="008902A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2A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8902A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(UC + reserva + recourse)</w:t>
            </w:r>
          </w:p>
        </w:tc>
      </w:tr>
      <w:tr w:rsidR="008902AF" w:rsidRPr="008902AF" w14:paraId="2D626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59A90" w14:textId="77777777" w:rsidR="008902AF" w:rsidRPr="008902AF" w:rsidRDefault="008902AF" w:rsidP="008902A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2A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Abordagem metodológica geral</w:t>
            </w:r>
          </w:p>
        </w:tc>
        <w:tc>
          <w:tcPr>
            <w:tcW w:w="0" w:type="auto"/>
            <w:vAlign w:val="center"/>
            <w:hideMark/>
          </w:tcPr>
          <w:p w14:paraId="1C777223" w14:textId="77777777" w:rsidR="008902AF" w:rsidRPr="008902AF" w:rsidRDefault="008902AF" w:rsidP="008902A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2A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8902A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(TRO + incerteza endógena + C&amp;CG)</w:t>
            </w:r>
          </w:p>
        </w:tc>
      </w:tr>
    </w:tbl>
    <w:p w14:paraId="33A81C41" w14:textId="77777777" w:rsidR="008902AF" w:rsidRPr="008902AF" w:rsidRDefault="008902AF" w:rsidP="008902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 (LT + furacões + hardening + falha).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902A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ao seu “índice físico de LT”: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média-alta (o artigo dá o “motor” de decisão e a ligação hazard→falha, mas não entrega o índice físico final).</w:t>
      </w:r>
    </w:p>
    <w:p w14:paraId="5350C506" w14:textId="77777777" w:rsidR="008902AF" w:rsidRPr="008902AF" w:rsidRDefault="008902AF" w:rsidP="008902A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D9752FE">
          <v:rect id="_x0000_i1029" style="width:0;height:1.5pt" o:hralign="center" o:hrstd="t" o:hr="t" fillcolor="#a0a0a0" stroked="f"/>
        </w:pict>
      </w:r>
    </w:p>
    <w:p w14:paraId="5CA36818" w14:textId="77777777" w:rsidR="008902AF" w:rsidRPr="008902AF" w:rsidRDefault="008902AF" w:rsidP="008902A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8902AF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5) Utilidade real para a sua tese</w:t>
      </w:r>
    </w:p>
    <w:p w14:paraId="03DD56A9" w14:textId="77777777" w:rsidR="008902AF" w:rsidRPr="008902AF" w:rsidRDefault="008902AF" w:rsidP="008902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Use este artigo para:</w:t>
      </w:r>
    </w:p>
    <w:p w14:paraId="5D52411F" w14:textId="77777777" w:rsidR="008902AF" w:rsidRPr="008902AF" w:rsidRDefault="008902AF" w:rsidP="008902A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a ideia de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 endógena dependente da decisão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(hardening altera o conjunto de cenários) — argumento forte de originalidade metodológica.</w:t>
      </w:r>
    </w:p>
    <w:p w14:paraId="37993727" w14:textId="77777777" w:rsidR="008902AF" w:rsidRPr="008902AF" w:rsidRDefault="008902AF" w:rsidP="008902A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embasar formalmente a cadeia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furacão → probabilidade de falha (torre/condutor) → estados de linha ao longo do tempo → operação robusta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BE5946F" w14:textId="77777777" w:rsidR="008902AF" w:rsidRPr="008902AF" w:rsidRDefault="008902AF" w:rsidP="008902A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apoiar seu capítulo de métodos (TRO/robustez) e solução (C&amp;CG modificado) em resiliência de transmissão.</w:t>
      </w:r>
    </w:p>
    <w:p w14:paraId="017C21D2" w14:textId="77777777" w:rsidR="008902AF" w:rsidRPr="008902AF" w:rsidRDefault="008902AF" w:rsidP="008902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use como base principal para:</w:t>
      </w:r>
    </w:p>
    <w:p w14:paraId="122A314F" w14:textId="77777777" w:rsidR="008902AF" w:rsidRPr="008902AF" w:rsidRDefault="008902AF" w:rsidP="008902A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estrutural detalhada (mecânica de colapso de torre, fundações, cascatas mecânicas), que exigirá literatura específica de engenharia estrutural de LT.</w:t>
      </w:r>
    </w:p>
    <w:p w14:paraId="77B26A21" w14:textId="77777777" w:rsidR="008902AF" w:rsidRPr="008902AF" w:rsidRDefault="008902AF" w:rsidP="008902A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157AB0C">
          <v:rect id="_x0000_i1030" style="width:0;height:1.5pt" o:hralign="center" o:hrstd="t" o:hr="t" fillcolor="#a0a0a0" stroked="f"/>
        </w:pict>
      </w:r>
    </w:p>
    <w:p w14:paraId="129E75CE" w14:textId="77777777" w:rsidR="008902AF" w:rsidRPr="008902AF" w:rsidRDefault="008902AF" w:rsidP="008902A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8902AF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6) Decisão final</w:t>
      </w:r>
    </w:p>
    <w:p w14:paraId="641A1ACD" w14:textId="77777777" w:rsidR="008902AF" w:rsidRPr="008902AF" w:rsidRDefault="008902AF" w:rsidP="008902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588328CD" w14:textId="77777777" w:rsidR="008902AF" w:rsidRPr="008902AF" w:rsidRDefault="008902AF" w:rsidP="008902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Justificativa: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 artigo de núcleo para sua tese porque trata diretamente de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LT sob furacões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inclui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formaliza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 endógena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(dependente do reforço) e integra isso a um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UC robusto em dois estágios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recourse e avaliação do pior caso.</w:t>
      </w:r>
    </w:p>
    <w:p w14:paraId="3AC123C1" w14:textId="77777777" w:rsidR="008902AF" w:rsidRPr="008902AF" w:rsidRDefault="008902AF" w:rsidP="008902A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49BDDB">
          <v:rect id="_x0000_i1031" style="width:0;height:1.5pt" o:hralign="center" o:hrstd="t" o:hr="t" fillcolor="#a0a0a0" stroked="f"/>
        </w:pict>
      </w:r>
    </w:p>
    <w:p w14:paraId="1E857071" w14:textId="77777777" w:rsidR="008902AF" w:rsidRPr="008902AF" w:rsidRDefault="008902AF" w:rsidP="008902A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8902AF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lastRenderedPageBreak/>
        <w:t>7) Classificação resumida (para a tabela final)</w:t>
      </w:r>
    </w:p>
    <w:p w14:paraId="003763EA" w14:textId="77777777" w:rsidR="008902AF" w:rsidRPr="008902AF" w:rsidRDefault="008902AF" w:rsidP="008902A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800B8B6" w14:textId="77777777" w:rsidR="008902AF" w:rsidRPr="008902AF" w:rsidRDefault="008902AF" w:rsidP="008902A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UC resiliente com hardening de LT sob furacões via TRO com incerteza endógena (falha/operabilidade/reparo) e solução por C&amp;CG modificado.</w:t>
      </w:r>
    </w:p>
    <w:p w14:paraId="7EBAFA80" w14:textId="77777777" w:rsidR="008902AF" w:rsidRPr="008902AF" w:rsidRDefault="008902AF" w:rsidP="008902A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66290DAA" w14:textId="77777777" w:rsidR="008902AF" w:rsidRPr="008902AF" w:rsidRDefault="008902AF" w:rsidP="008902A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adotada; Resiliência dos sistemas elétricos; Revisão da literatura; Justificativa da escolha (lacuna: incerteza endógena/decisão-dependente)</w:t>
      </w:r>
    </w:p>
    <w:p w14:paraId="4FFE14B0" w14:textId="77777777" w:rsidR="008902AF" w:rsidRPr="008902AF" w:rsidRDefault="008902AF" w:rsidP="008902A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 8,0 / 10</w:t>
      </w:r>
    </w:p>
    <w:p w14:paraId="616C8D49" w14:textId="77777777" w:rsidR="008902AF" w:rsidRPr="008902AF" w:rsidRDefault="008902AF" w:rsidP="008902A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0553E0">
          <v:rect id="_x0000_i1032" style="width:0;height:1.5pt" o:hralign="center" o:hrstd="t" o:hr="t" fillcolor="#a0a0a0" stroked="f"/>
        </w:pict>
      </w:r>
    </w:p>
    <w:p w14:paraId="1C751232" w14:textId="77777777" w:rsidR="008902AF" w:rsidRPr="008902AF" w:rsidRDefault="008902AF" w:rsidP="008902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8902AF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Referência (formato IEEE)</w:t>
      </w:r>
    </w:p>
    <w:p w14:paraId="5247D87D" w14:textId="77777777" w:rsidR="008902AF" w:rsidRPr="008902AF" w:rsidRDefault="008902AF" w:rsidP="008902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2A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X. Yang, X. Liu, T. Zhao, G. Xiao, B. Fan, S. Liu, and P. Wang, “Resilient Unit Commitment for Transmission Lines Hardening Under Endogenous Uncertainties,” </w:t>
      </w:r>
      <w:r w:rsidRPr="008902A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 xml:space="preserve">IEEE Trans. </w:t>
      </w:r>
      <w:r w:rsidRPr="008902A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Power Syst.</w:t>
      </w:r>
      <w:r w:rsidRPr="008902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vol. 40, no. 1, Jan. 2025.</w:t>
      </w:r>
    </w:p>
    <w:p w14:paraId="7277BFC7" w14:textId="77777777" w:rsidR="003C1119" w:rsidRPr="003C1119" w:rsidRDefault="003C1119">
      <w:pPr>
        <w:rPr>
          <w:lang w:val="en-US"/>
        </w:rPr>
      </w:pPr>
    </w:p>
    <w:sectPr w:rsidR="003C1119" w:rsidRPr="003C1119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7EB"/>
    <w:multiLevelType w:val="multilevel"/>
    <w:tmpl w:val="6D42F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62C46"/>
    <w:multiLevelType w:val="multilevel"/>
    <w:tmpl w:val="49D0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10798"/>
    <w:multiLevelType w:val="multilevel"/>
    <w:tmpl w:val="F252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C0D69"/>
    <w:multiLevelType w:val="multilevel"/>
    <w:tmpl w:val="62F2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D2C83"/>
    <w:multiLevelType w:val="multilevel"/>
    <w:tmpl w:val="C28E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A53DB"/>
    <w:multiLevelType w:val="multilevel"/>
    <w:tmpl w:val="5F26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715F6"/>
    <w:multiLevelType w:val="multilevel"/>
    <w:tmpl w:val="7B66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E7EF0"/>
    <w:multiLevelType w:val="multilevel"/>
    <w:tmpl w:val="3958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8C5E9D"/>
    <w:multiLevelType w:val="multilevel"/>
    <w:tmpl w:val="F5A8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26FF8"/>
    <w:multiLevelType w:val="multilevel"/>
    <w:tmpl w:val="BBA0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029340">
    <w:abstractNumId w:val="7"/>
  </w:num>
  <w:num w:numId="2" w16cid:durableId="2110351398">
    <w:abstractNumId w:val="9"/>
  </w:num>
  <w:num w:numId="3" w16cid:durableId="482309101">
    <w:abstractNumId w:val="3"/>
  </w:num>
  <w:num w:numId="4" w16cid:durableId="1953513691">
    <w:abstractNumId w:val="6"/>
  </w:num>
  <w:num w:numId="5" w16cid:durableId="101846039">
    <w:abstractNumId w:val="8"/>
  </w:num>
  <w:num w:numId="6" w16cid:durableId="483744442">
    <w:abstractNumId w:val="2"/>
  </w:num>
  <w:num w:numId="7" w16cid:durableId="2107992206">
    <w:abstractNumId w:val="0"/>
  </w:num>
  <w:num w:numId="8" w16cid:durableId="113793283">
    <w:abstractNumId w:val="5"/>
  </w:num>
  <w:num w:numId="9" w16cid:durableId="1755664059">
    <w:abstractNumId w:val="1"/>
  </w:num>
  <w:num w:numId="10" w16cid:durableId="6977018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11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C1119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902AF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E611B"/>
  <w15:chartTrackingRefBased/>
  <w15:docId w15:val="{BE6CDD33-4E19-4919-AEB0-DF24F507D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1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11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11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11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11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11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11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11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11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11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C1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11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C11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02A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902AF"/>
    <w:rPr>
      <w:b/>
      <w:bCs/>
    </w:rPr>
  </w:style>
  <w:style w:type="character" w:styleId="Emphasis">
    <w:name w:val="Emphasis"/>
    <w:basedOn w:val="DefaultParagraphFont"/>
    <w:uiPriority w:val="20"/>
    <w:qFormat/>
    <w:rsid w:val="008902AF"/>
    <w:rPr>
      <w:i/>
      <w:iCs/>
    </w:rPr>
  </w:style>
  <w:style w:type="character" w:customStyle="1" w:styleId="relative">
    <w:name w:val="relative"/>
    <w:basedOn w:val="DefaultParagraphFont"/>
    <w:rsid w:val="008902AF"/>
  </w:style>
  <w:style w:type="paragraph" w:customStyle="1" w:styleId="not-prose">
    <w:name w:val="not-prose"/>
    <w:basedOn w:val="Normal"/>
    <w:rsid w:val="008902A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1154</Words>
  <Characters>6233</Characters>
  <Application>Microsoft Office Word</Application>
  <DocSecurity>0</DocSecurity>
  <Lines>51</Lines>
  <Paragraphs>14</Paragraphs>
  <ScaleCrop>false</ScaleCrop>
  <Company/>
  <LinksUpToDate>false</LinksUpToDate>
  <CharactersWithSpaces>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2026-01-12T20:42:00Z</dcterms:created>
  <dcterms:modified xsi:type="dcterms:W3CDTF">2026-01-12T20:43:00Z</dcterms:modified>
</cp:coreProperties>
</file>