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CE768" w14:textId="483988DB" w:rsidR="00205665" w:rsidRDefault="00E17BEE">
      <w:r w:rsidRPr="00205665">
        <w:t>PORTARIA Nº 138-I-2021 - REQUISITOS MÍNIMOS DE DESEMPENHO ENERGÉTICO RELATIVOS À ENVOLVENTE DOS EDIFÍCIOS E AOS SISTEMAS TÉCNICOS</w:t>
      </w:r>
      <w:r>
        <w:t>.</w:t>
      </w:r>
    </w:p>
    <w:p w14:paraId="247654B7" w14:textId="77777777" w:rsidR="00205665" w:rsidRDefault="00205665"/>
    <w:p w14:paraId="17059746" w14:textId="00A288C0" w:rsidR="00205665" w:rsidRDefault="00205665">
      <w:r>
        <w:t>SISTEMAS FIXOS DE ILUMINAÇÃO</w:t>
      </w:r>
    </w:p>
    <w:p w14:paraId="4759E18A" w14:textId="229B78C6" w:rsidR="003769EA" w:rsidRDefault="003769EA">
      <w:r>
        <w:t>REQUISITOS DE DESEMPENHO ENERGÉTICO GERAL</w:t>
      </w:r>
    </w:p>
    <w:p w14:paraId="4D7D8FA9" w14:textId="1E89C63C" w:rsidR="00223F5A" w:rsidRDefault="00205665">
      <w:r>
        <w:t>Os sistemas de iluminação fixa devem dispor de densidade instalada, em cada espaço, inferior ao valor máximo da Tabela 25, calculado de acordo como o Manual SCE</w:t>
      </w:r>
      <w:r w:rsidR="00223F5A">
        <w:t>.</w:t>
      </w:r>
    </w:p>
    <w:p w14:paraId="1A813997" w14:textId="77777777" w:rsidR="00223F5A" w:rsidRDefault="00223F5A"/>
    <w:p w14:paraId="3A0B9591" w14:textId="0AC7D9AE" w:rsidR="00E0132A" w:rsidRDefault="008E2AA1">
      <w:r>
        <w:rPr>
          <w:noProof/>
        </w:rPr>
        <w:drawing>
          <wp:inline distT="0" distB="0" distL="0" distR="0" wp14:anchorId="2FF69F49" wp14:editId="7E26AF39">
            <wp:extent cx="5400040" cy="3309620"/>
            <wp:effectExtent l="0" t="0" r="0" b="5080"/>
            <wp:docPr id="1895707109" name="Imagem 1" descr="Uma imagem com texto, captura de ecrã, Tipo de letr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07109" name="Imagem 1" descr="Uma imagem com texto, captura de ecrã, Tipo de letra, número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7A45" w14:textId="08E4078D" w:rsidR="008E2AA1" w:rsidRDefault="00223F5A">
      <w:r>
        <w:t>Notas:</w:t>
      </w:r>
    </w:p>
    <w:p w14:paraId="79E3541A" w14:textId="66F8906C" w:rsidR="00223F5A" w:rsidRDefault="00223F5A" w:rsidP="00223F5A">
      <w:pPr>
        <w:pStyle w:val="PargrafodaLista"/>
        <w:numPr>
          <w:ilvl w:val="0"/>
          <w:numId w:val="2"/>
        </w:numPr>
      </w:pPr>
      <w:r>
        <w:t>E</w:t>
      </w:r>
      <w:r>
        <w:t>xclui</w:t>
      </w:r>
      <w:r>
        <w:t>-se</w:t>
      </w:r>
      <w:r>
        <w:t xml:space="preserve"> iluminação dedicada de montras</w:t>
      </w:r>
      <w:r>
        <w:t xml:space="preserve">, </w:t>
      </w:r>
      <w:r>
        <w:t>expositores</w:t>
      </w:r>
      <w:r>
        <w:t>, sistema de iluminação de emergência em recintos para prática desportiva em regime de alta competição e de transmissão televisiva.</w:t>
      </w:r>
    </w:p>
    <w:p w14:paraId="60731BFE" w14:textId="5511AFC4" w:rsidR="00703DDE" w:rsidRDefault="00703DDE" w:rsidP="00703DDE">
      <w:r>
        <w:t>REQUISITOS DO DIMENSIONAMENTO</w:t>
      </w:r>
    </w:p>
    <w:p w14:paraId="690EDF04" w14:textId="0ABCE159" w:rsidR="003769EA" w:rsidRDefault="00F901F9" w:rsidP="00703DDE">
      <w:r>
        <w:t>A iluminância deve obedecer a EN 12464-1 e EN 12193</w:t>
      </w:r>
      <w:r w:rsidR="003769EA">
        <w:t>, sem levar em consideração a iluminação natural, móveis, montras e expositores.</w:t>
      </w:r>
    </w:p>
    <w:p w14:paraId="1E1F4123" w14:textId="4BEAED1F" w:rsidR="00703DDE" w:rsidRDefault="00AA5EB7" w:rsidP="00703DDE">
      <w:r>
        <w:t>REQUISITOS D</w:t>
      </w:r>
      <w:r w:rsidR="00FA47ED">
        <w:t>E CONTROLE ADEQUADO</w:t>
      </w:r>
    </w:p>
    <w:p w14:paraId="68E6ACCA" w14:textId="423F2009" w:rsidR="00FA47ED" w:rsidRDefault="00FA47ED" w:rsidP="00703DDE">
      <w:r>
        <w:t>Devem recorre</w:t>
      </w:r>
      <w:r w:rsidR="0095708D">
        <w:t>r à segregação dos circuitos elétricos de potência</w:t>
      </w:r>
      <w:r w:rsidR="00326759">
        <w:t>, nomeadamente:</w:t>
      </w:r>
    </w:p>
    <w:p w14:paraId="49E1A165" w14:textId="2AA7351B" w:rsidR="00326759" w:rsidRDefault="00BA5710" w:rsidP="00326759">
      <w:pPr>
        <w:pStyle w:val="PargrafodaLista"/>
        <w:numPr>
          <w:ilvl w:val="0"/>
          <w:numId w:val="2"/>
        </w:numPr>
      </w:pPr>
      <w:r>
        <w:t>Utilização de circuitos independentes por cada zona funcional;</w:t>
      </w:r>
    </w:p>
    <w:p w14:paraId="6A211D76" w14:textId="460E86AB" w:rsidR="00BA5710" w:rsidRDefault="00BA5710" w:rsidP="00326759">
      <w:pPr>
        <w:pStyle w:val="PargrafodaLista"/>
        <w:numPr>
          <w:ilvl w:val="0"/>
          <w:numId w:val="2"/>
        </w:numPr>
      </w:pPr>
      <w:r>
        <w:t>Adoção de circuito elétrico independente que alimente a(s) luminárias junto às janelas</w:t>
      </w:r>
      <w:r w:rsidR="002B1F0C">
        <w:t>;</w:t>
      </w:r>
    </w:p>
    <w:p w14:paraId="2454933E" w14:textId="77777777" w:rsidR="00495629" w:rsidRDefault="002B1F0C" w:rsidP="00326759">
      <w:pPr>
        <w:pStyle w:val="PargrafodaLista"/>
        <w:numPr>
          <w:ilvl w:val="0"/>
          <w:numId w:val="2"/>
        </w:numPr>
      </w:pPr>
      <w:r>
        <w:t xml:space="preserve">Adoção de circuito elétrico </w:t>
      </w:r>
      <w:r w:rsidR="00735C11">
        <w:t>independente por fila de luminária, paral</w:t>
      </w:r>
      <w:r w:rsidR="00495629">
        <w:t>ela ou alternadas entre si;</w:t>
      </w:r>
    </w:p>
    <w:p w14:paraId="2F0421DB" w14:textId="39F55F8C" w:rsidR="004A3D99" w:rsidRDefault="00B44B50" w:rsidP="00326759">
      <w:pPr>
        <w:pStyle w:val="PargrafodaLista"/>
        <w:numPr>
          <w:ilvl w:val="0"/>
          <w:numId w:val="2"/>
        </w:numPr>
      </w:pPr>
      <w:r>
        <w:t>Adoção de circuito</w:t>
      </w:r>
      <w:r w:rsidR="00D06279">
        <w:t>s</w:t>
      </w:r>
      <w:r>
        <w:t xml:space="preserve"> </w:t>
      </w:r>
      <w:r w:rsidR="00D06279">
        <w:t>independentes para as luminárias da</w:t>
      </w:r>
      <w:r w:rsidR="00B07FFE">
        <w:t>s</w:t>
      </w:r>
      <w:r w:rsidR="00D06279">
        <w:t xml:space="preserve"> circulações.</w:t>
      </w:r>
    </w:p>
    <w:p w14:paraId="635FAF90" w14:textId="601FE68F" w:rsidR="002B1F0C" w:rsidRDefault="000D3628" w:rsidP="000D3628">
      <w:r>
        <w:t>Nota: Os sistemas de iluminação com equipamentos auxiliares endereçáveis</w:t>
      </w:r>
      <w:r w:rsidR="00E17DA1">
        <w:t xml:space="preserve"> dispensam a segregação referida, desde que se encontrem ligados a uma linha de co</w:t>
      </w:r>
      <w:r w:rsidR="00B07FFE">
        <w:t>municação</w:t>
      </w:r>
      <w:r w:rsidR="00CA5AE4">
        <w:t xml:space="preserve"> (com sensores e detetores)</w:t>
      </w:r>
      <w:r w:rsidR="002B1F0C">
        <w:t xml:space="preserve"> </w:t>
      </w:r>
      <w:r w:rsidR="00246D3D">
        <w:t>para controle e regulação da iluminação</w:t>
      </w:r>
      <w:r w:rsidR="00BF7737">
        <w:t xml:space="preserve"> que possam assegurar a segregação idêntica por meio de controle digital.</w:t>
      </w:r>
    </w:p>
    <w:p w14:paraId="3138678F" w14:textId="0C39F1C6" w:rsidR="00CA5AE4" w:rsidRDefault="00A2443D" w:rsidP="000D3628">
      <w:r>
        <w:rPr>
          <w:noProof/>
        </w:rPr>
        <w:lastRenderedPageBreak/>
        <w:drawing>
          <wp:inline distT="0" distB="0" distL="0" distR="0" wp14:anchorId="25FCEF54" wp14:editId="6A6FF6FE">
            <wp:extent cx="5400040" cy="4441190"/>
            <wp:effectExtent l="0" t="0" r="0" b="0"/>
            <wp:docPr id="1608196067" name="Imagem 3" descr="Uma imagem com texto, captura de ecrã, documento, Parale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96067" name="Imagem 3" descr="Uma imagem com texto, captura de ecrã, documento, Paralel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CA6A" w14:textId="77777777" w:rsidR="00EB0005" w:rsidRPr="00EB0005" w:rsidRDefault="00EB0005" w:rsidP="00EB0005"/>
    <w:p w14:paraId="08942DE9" w14:textId="46CA3734" w:rsidR="00223F5A" w:rsidRDefault="00E35651" w:rsidP="00223F5A">
      <w:r>
        <w:t xml:space="preserve">SISTEMAS DE </w:t>
      </w:r>
      <w:r w:rsidR="007A436E">
        <w:t>PRODUÇÃO DE ENERGIA ELÉTRICA</w:t>
      </w:r>
    </w:p>
    <w:p w14:paraId="46AEB1DF" w14:textId="141F402E" w:rsidR="008A3EB8" w:rsidRDefault="00662336" w:rsidP="00223F5A">
      <w:pPr>
        <w:rPr>
          <w:rFonts w:ascii="ArialMT" w:hAnsi="ArialMT" w:cs="ArialMT"/>
          <w:kern w:val="0"/>
          <w:sz w:val="21"/>
          <w:szCs w:val="21"/>
        </w:rPr>
      </w:pPr>
      <w:r>
        <w:t xml:space="preserve">Deve atender ao </w:t>
      </w:r>
      <w:r w:rsidR="008A3EB8">
        <w:rPr>
          <w:rFonts w:ascii="ArialMT" w:hAnsi="ArialMT" w:cs="ArialMT"/>
          <w:kern w:val="0"/>
          <w:sz w:val="21"/>
          <w:szCs w:val="21"/>
        </w:rPr>
        <w:t>Decreto-Lei</w:t>
      </w:r>
      <w:r>
        <w:rPr>
          <w:rFonts w:ascii="ArialMT" w:hAnsi="ArialMT" w:cs="ArialMT"/>
          <w:kern w:val="0"/>
          <w:sz w:val="21"/>
          <w:szCs w:val="21"/>
        </w:rPr>
        <w:t xml:space="preserve"> n.º 162/2019</w:t>
      </w:r>
      <w:r w:rsidR="008B62A2">
        <w:rPr>
          <w:rFonts w:ascii="ArialMT" w:hAnsi="ArialMT" w:cs="ArialMT"/>
          <w:kern w:val="0"/>
          <w:sz w:val="21"/>
          <w:szCs w:val="21"/>
        </w:rPr>
        <w:t xml:space="preserve">, ao </w:t>
      </w:r>
      <w:r w:rsidR="002262E4">
        <w:rPr>
          <w:rFonts w:ascii="ArialMT" w:hAnsi="ArialMT" w:cs="ArialMT"/>
          <w:kern w:val="0"/>
          <w:sz w:val="21"/>
          <w:szCs w:val="21"/>
        </w:rPr>
        <w:t>Decreto-Lei</w:t>
      </w:r>
      <w:r w:rsidR="008B62A2">
        <w:rPr>
          <w:rFonts w:ascii="ArialMT" w:hAnsi="ArialMT" w:cs="ArialMT"/>
          <w:kern w:val="0"/>
          <w:sz w:val="21"/>
          <w:szCs w:val="21"/>
        </w:rPr>
        <w:t xml:space="preserve"> n.º 23/2010</w:t>
      </w:r>
      <w:r w:rsidR="00B715ED">
        <w:rPr>
          <w:rFonts w:ascii="ArialMT" w:hAnsi="ArialMT" w:cs="ArialMT"/>
          <w:kern w:val="0"/>
          <w:sz w:val="21"/>
          <w:szCs w:val="21"/>
        </w:rPr>
        <w:t xml:space="preserve">, </w:t>
      </w:r>
      <w:r w:rsidR="008A3EB8">
        <w:rPr>
          <w:rFonts w:ascii="ArialMT" w:hAnsi="ArialMT" w:cs="ArialMT"/>
          <w:kern w:val="0"/>
          <w:sz w:val="21"/>
          <w:szCs w:val="21"/>
        </w:rPr>
        <w:t xml:space="preserve">ao </w:t>
      </w:r>
      <w:r w:rsidR="001C4DDE">
        <w:rPr>
          <w:rFonts w:ascii="ArialMT" w:hAnsi="ArialMT" w:cs="ArialMT"/>
          <w:kern w:val="0"/>
          <w:sz w:val="21"/>
          <w:szCs w:val="21"/>
        </w:rPr>
        <w:t>Decreto-Lei</w:t>
      </w:r>
      <w:r w:rsidR="008A3EB8">
        <w:rPr>
          <w:rFonts w:ascii="ArialMT" w:hAnsi="ArialMT" w:cs="ArialMT"/>
          <w:kern w:val="0"/>
          <w:sz w:val="21"/>
          <w:szCs w:val="21"/>
        </w:rPr>
        <w:t xml:space="preserve"> n.º 101 -D/2020</w:t>
      </w:r>
      <w:r w:rsidR="008A3EB8">
        <w:rPr>
          <w:rFonts w:ascii="ArialMT" w:hAnsi="ArialMT" w:cs="ArialMT"/>
          <w:kern w:val="0"/>
          <w:sz w:val="21"/>
          <w:szCs w:val="21"/>
        </w:rPr>
        <w:t xml:space="preserve"> e </w:t>
      </w:r>
      <w:r w:rsidR="00B715ED">
        <w:rPr>
          <w:rFonts w:ascii="ArialMT" w:hAnsi="ArialMT" w:cs="ArialMT"/>
          <w:kern w:val="0"/>
          <w:sz w:val="21"/>
          <w:szCs w:val="21"/>
        </w:rPr>
        <w:t>a</w:t>
      </w:r>
      <w:r w:rsidR="008A3EB8">
        <w:rPr>
          <w:rFonts w:ascii="ArialMT" w:hAnsi="ArialMT" w:cs="ArialMT"/>
          <w:kern w:val="0"/>
          <w:sz w:val="21"/>
          <w:szCs w:val="21"/>
        </w:rPr>
        <w:t xml:space="preserve"> </w:t>
      </w:r>
      <w:r w:rsidR="008A3EB8">
        <w:rPr>
          <w:rFonts w:ascii="ArialMT" w:hAnsi="ArialMT" w:cs="ArialMT"/>
          <w:kern w:val="0"/>
          <w:sz w:val="21"/>
          <w:szCs w:val="21"/>
        </w:rPr>
        <w:t>Lei n.º 14/2015</w:t>
      </w:r>
      <w:r w:rsidR="008A3EB8">
        <w:rPr>
          <w:rFonts w:ascii="ArialMT" w:hAnsi="ArialMT" w:cs="ArialMT"/>
          <w:kern w:val="0"/>
          <w:sz w:val="21"/>
          <w:szCs w:val="21"/>
        </w:rPr>
        <w:t>.</w:t>
      </w:r>
    </w:p>
    <w:p w14:paraId="695266C3" w14:textId="49A56DD2" w:rsidR="007A436E" w:rsidRDefault="002262E4" w:rsidP="00223F5A">
      <w:r>
        <w:rPr>
          <w:rFonts w:ascii="ArialMT" w:hAnsi="ArialMT" w:cs="ArialMT"/>
          <w:kern w:val="0"/>
          <w:sz w:val="21"/>
          <w:szCs w:val="21"/>
        </w:rPr>
        <w:t>Sistemas de potência superior a 30kWp</w:t>
      </w:r>
      <w:r w:rsidR="00E01E40">
        <w:rPr>
          <w:rFonts w:ascii="ArialMT" w:hAnsi="ArialMT" w:cs="ArialMT"/>
          <w:kern w:val="0"/>
          <w:sz w:val="21"/>
          <w:szCs w:val="21"/>
        </w:rPr>
        <w:t xml:space="preserve"> instalados em edifícios de comércio e serviços devem permitir a integração com </w:t>
      </w:r>
      <w:r w:rsidR="00C603CC">
        <w:rPr>
          <w:rFonts w:ascii="ArialMT" w:hAnsi="ArialMT" w:cs="ArialMT"/>
          <w:kern w:val="0"/>
          <w:sz w:val="21"/>
          <w:szCs w:val="21"/>
        </w:rPr>
        <w:t>o sistema de Gestão Técnica de Energia (GTE).</w:t>
      </w:r>
    </w:p>
    <w:p w14:paraId="5999FF31" w14:textId="77777777" w:rsidR="007A436E" w:rsidRDefault="007A436E" w:rsidP="00223F5A"/>
    <w:p w14:paraId="48ED348C" w14:textId="77777777" w:rsidR="00D27487" w:rsidRDefault="00D27487" w:rsidP="00223F5A">
      <w:r>
        <w:t>SISTEMAS DE AUTOMATIZAÇÃO E CONTROLO DOS EDIFÍCIOS (SACE)</w:t>
      </w:r>
    </w:p>
    <w:p w14:paraId="1C043010" w14:textId="77777777" w:rsidR="00EF6EB4" w:rsidRDefault="00C25691" w:rsidP="00223F5A">
      <w:r>
        <w:t xml:space="preserve">A adoção de SACE nos edifícios de comércio e serviços deve </w:t>
      </w:r>
      <w:r w:rsidR="00EF6EB4">
        <w:t>conforme Tabela 27</w:t>
      </w:r>
    </w:p>
    <w:p w14:paraId="739B0F6A" w14:textId="77777777" w:rsidR="00701F2D" w:rsidRDefault="00701F2D" w:rsidP="00223F5A"/>
    <w:p w14:paraId="17EF176E" w14:textId="2C2F6DDF" w:rsidR="00750EFA" w:rsidRDefault="00701F2D" w:rsidP="00223F5A">
      <w:r>
        <w:rPr>
          <w:noProof/>
        </w:rPr>
        <w:drawing>
          <wp:inline distT="0" distB="0" distL="0" distR="0" wp14:anchorId="3296CA98" wp14:editId="1189EDD9">
            <wp:extent cx="5400040" cy="1016635"/>
            <wp:effectExtent l="0" t="0" r="0" b="0"/>
            <wp:docPr id="1256254159" name="Imagem 4" descr="Uma imagem com texto, Tipo de letra, captura de ecrã, recib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54159" name="Imagem 4" descr="Uma imagem com texto, Tipo de letra, captura de ecrã, recib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487">
        <w:t xml:space="preserve"> </w:t>
      </w:r>
    </w:p>
    <w:p w14:paraId="3E6E97EC" w14:textId="77777777" w:rsidR="007A436E" w:rsidRDefault="007A436E" w:rsidP="00223F5A"/>
    <w:p w14:paraId="2B108DDD" w14:textId="75D4A51B" w:rsidR="00350ED0" w:rsidRPr="00350ED0" w:rsidRDefault="0073653A" w:rsidP="00223F5A">
      <w:r w:rsidRPr="0073653A">
        <w:t>A instalação de SACE em edifícios com potência nominal global inferior a 100 kW deve</w:t>
      </w:r>
      <w:r>
        <w:t xml:space="preserve"> </w:t>
      </w:r>
      <w:r w:rsidRPr="0073653A">
        <w:t>assegurar o cumprimento dos requisitos de controlo adequado aplicáveis individualmente a cada</w:t>
      </w:r>
      <w:r w:rsidR="00350ED0">
        <w:t xml:space="preserve"> </w:t>
      </w:r>
      <w:r w:rsidRPr="0073653A">
        <w:t>sistema técnico abrangido pelo referido SACE</w:t>
      </w:r>
      <w:r w:rsidR="00350ED0">
        <w:t>.</w:t>
      </w:r>
    </w:p>
    <w:sectPr w:rsidR="00350ED0" w:rsidRPr="00350ED0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13BE7F" w14:textId="77777777" w:rsidR="00E147CE" w:rsidRDefault="00E147CE" w:rsidP="00E147CE">
      <w:pPr>
        <w:spacing w:after="0" w:line="240" w:lineRule="auto"/>
      </w:pPr>
      <w:r>
        <w:separator/>
      </w:r>
    </w:p>
  </w:endnote>
  <w:endnote w:type="continuationSeparator" w:id="0">
    <w:p w14:paraId="50F18231" w14:textId="77777777" w:rsidR="00E147CE" w:rsidRDefault="00E147CE" w:rsidP="00E14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618194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40D3A71" w14:textId="18CB11DD" w:rsidR="0001575B" w:rsidRPr="0001575B" w:rsidRDefault="0001575B" w:rsidP="0001575B">
            <w:pPr>
              <w:jc w:val="right"/>
            </w:pPr>
            <w:r w:rsidRPr="0001575B">
              <w:t>Pág</w:t>
            </w:r>
            <w:r>
              <w:t>.</w:t>
            </w:r>
            <w:r w:rsidRPr="0001575B">
              <w:t xml:space="preserve"> </w:t>
            </w:r>
            <w:r w:rsidRPr="0001575B">
              <w:fldChar w:fldCharType="begin"/>
            </w:r>
            <w:r w:rsidRPr="0001575B">
              <w:instrText>PAGE</w:instrText>
            </w:r>
            <w:r w:rsidRPr="0001575B">
              <w:fldChar w:fldCharType="separate"/>
            </w:r>
            <w:r w:rsidRPr="0001575B">
              <w:t>2</w:t>
            </w:r>
            <w:r w:rsidRPr="0001575B">
              <w:fldChar w:fldCharType="end"/>
            </w:r>
            <w:r w:rsidRPr="0001575B">
              <w:t xml:space="preserve"> de </w:t>
            </w:r>
            <w:r w:rsidRPr="0001575B">
              <w:fldChar w:fldCharType="begin"/>
            </w:r>
            <w:r w:rsidRPr="0001575B">
              <w:instrText>NUMPAGES</w:instrText>
            </w:r>
            <w:r w:rsidRPr="0001575B">
              <w:fldChar w:fldCharType="separate"/>
            </w:r>
            <w:r w:rsidRPr="0001575B">
              <w:t>2</w:t>
            </w:r>
            <w:r w:rsidRPr="0001575B">
              <w:fldChar w:fldCharType="end"/>
            </w:r>
          </w:p>
        </w:sdtContent>
      </w:sdt>
    </w:sdtContent>
  </w:sdt>
  <w:p w14:paraId="1D8732DC" w14:textId="77777777" w:rsidR="00E147CE" w:rsidRDefault="00E147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EA0710" w14:textId="77777777" w:rsidR="00E147CE" w:rsidRDefault="00E147CE" w:rsidP="00E147CE">
      <w:pPr>
        <w:spacing w:after="0" w:line="240" w:lineRule="auto"/>
      </w:pPr>
      <w:r>
        <w:separator/>
      </w:r>
    </w:p>
  </w:footnote>
  <w:footnote w:type="continuationSeparator" w:id="0">
    <w:p w14:paraId="151B1991" w14:textId="77777777" w:rsidR="00E147CE" w:rsidRDefault="00E147CE" w:rsidP="00E147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766CAB"/>
    <w:multiLevelType w:val="hybridMultilevel"/>
    <w:tmpl w:val="689226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327B2"/>
    <w:multiLevelType w:val="hybridMultilevel"/>
    <w:tmpl w:val="2B5A6C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230491">
    <w:abstractNumId w:val="1"/>
  </w:num>
  <w:num w:numId="2" w16cid:durableId="57516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665"/>
    <w:rsid w:val="0001575B"/>
    <w:rsid w:val="00091CB8"/>
    <w:rsid w:val="000D3628"/>
    <w:rsid w:val="00123411"/>
    <w:rsid w:val="00152706"/>
    <w:rsid w:val="001C4DDE"/>
    <w:rsid w:val="00205665"/>
    <w:rsid w:val="00223F5A"/>
    <w:rsid w:val="002262E4"/>
    <w:rsid w:val="00246D3D"/>
    <w:rsid w:val="0025728A"/>
    <w:rsid w:val="002B1F0C"/>
    <w:rsid w:val="00326759"/>
    <w:rsid w:val="00350ED0"/>
    <w:rsid w:val="003769EA"/>
    <w:rsid w:val="00495629"/>
    <w:rsid w:val="004A3D99"/>
    <w:rsid w:val="004B7E8F"/>
    <w:rsid w:val="00532854"/>
    <w:rsid w:val="00662336"/>
    <w:rsid w:val="00701F2D"/>
    <w:rsid w:val="00703DDE"/>
    <w:rsid w:val="00735C11"/>
    <w:rsid w:val="0073653A"/>
    <w:rsid w:val="00750EFA"/>
    <w:rsid w:val="007A436E"/>
    <w:rsid w:val="008A3EB8"/>
    <w:rsid w:val="008B62A2"/>
    <w:rsid w:val="008D4360"/>
    <w:rsid w:val="008E2AA1"/>
    <w:rsid w:val="00936E36"/>
    <w:rsid w:val="0095708D"/>
    <w:rsid w:val="00A2443D"/>
    <w:rsid w:val="00AA5EB7"/>
    <w:rsid w:val="00AD3D9D"/>
    <w:rsid w:val="00B07FFE"/>
    <w:rsid w:val="00B44B50"/>
    <w:rsid w:val="00B715ED"/>
    <w:rsid w:val="00BA5710"/>
    <w:rsid w:val="00BF7737"/>
    <w:rsid w:val="00C25691"/>
    <w:rsid w:val="00C603CC"/>
    <w:rsid w:val="00CA5AE4"/>
    <w:rsid w:val="00D06279"/>
    <w:rsid w:val="00D27487"/>
    <w:rsid w:val="00D3220B"/>
    <w:rsid w:val="00E0132A"/>
    <w:rsid w:val="00E01E40"/>
    <w:rsid w:val="00E147CE"/>
    <w:rsid w:val="00E17BEE"/>
    <w:rsid w:val="00E17DA1"/>
    <w:rsid w:val="00E35651"/>
    <w:rsid w:val="00EB0005"/>
    <w:rsid w:val="00ED181A"/>
    <w:rsid w:val="00EF6EB4"/>
    <w:rsid w:val="00F901F9"/>
    <w:rsid w:val="00FA47ED"/>
    <w:rsid w:val="00FB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3FA633"/>
  <w15:chartTrackingRefBased/>
  <w15:docId w15:val="{F8C1B7C2-AEB1-4B62-851E-0C25D1D8E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81A"/>
    <w:pPr>
      <w:spacing w:after="120" w:line="276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ter"/>
    <w:uiPriority w:val="9"/>
    <w:qFormat/>
    <w:rsid w:val="00ED181A"/>
    <w:pPr>
      <w:keepNext/>
      <w:keepLines/>
      <w:spacing w:before="240"/>
      <w:outlineLvl w:val="0"/>
    </w:pPr>
    <w:rPr>
      <w:rFonts w:eastAsiaTheme="majorEastAsia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D181A"/>
    <w:pPr>
      <w:keepNext/>
      <w:keepLines/>
      <w:spacing w:before="120" w:after="240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ED181A"/>
    <w:pPr>
      <w:keepNext/>
      <w:keepLines/>
      <w:spacing w:before="240"/>
      <w:outlineLvl w:val="2"/>
    </w:pPr>
    <w:rPr>
      <w:rFonts w:eastAsiaTheme="majorEastAsia" w:cstheme="majorBidi"/>
      <w:b/>
      <w:sz w:val="24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ED181A"/>
    <w:pPr>
      <w:keepNext/>
      <w:keepLines/>
      <w:spacing w:before="24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ED181A"/>
    <w:pPr>
      <w:keepNext/>
      <w:keepLines/>
      <w:spacing w:before="240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056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056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056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056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D181A"/>
    <w:rPr>
      <w:rFonts w:ascii="Arial" w:eastAsiaTheme="majorEastAsia" w:hAnsi="Arial" w:cstheme="majorBidi"/>
      <w:b/>
      <w:sz w:val="32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D181A"/>
    <w:rPr>
      <w:rFonts w:ascii="Arial" w:eastAsiaTheme="majorEastAsia" w:hAnsi="Arial" w:cstheme="majorBidi"/>
      <w:b/>
      <w:sz w:val="28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ED181A"/>
    <w:rPr>
      <w:rFonts w:ascii="Arial" w:eastAsiaTheme="majorEastAsia" w:hAnsi="Arial" w:cstheme="majorBidi"/>
      <w:b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ED181A"/>
    <w:rPr>
      <w:rFonts w:ascii="Arial" w:eastAsiaTheme="majorEastAsia" w:hAnsi="Arial" w:cstheme="majorBidi"/>
      <w:b/>
      <w:iCs/>
      <w:sz w:val="20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ED181A"/>
    <w:rPr>
      <w:rFonts w:ascii="Arial" w:eastAsiaTheme="majorEastAsia" w:hAnsi="Arial" w:cstheme="majorBidi"/>
      <w:sz w:val="2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05665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05665"/>
    <w:rPr>
      <w:rFonts w:eastAsiaTheme="majorEastAsia" w:cstheme="majorBidi"/>
      <w:color w:val="595959" w:themeColor="text1" w:themeTint="A6"/>
      <w:sz w:val="2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05665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05665"/>
    <w:rPr>
      <w:rFonts w:eastAsiaTheme="majorEastAsia" w:cstheme="majorBidi"/>
      <w:color w:val="272727" w:themeColor="text1" w:themeTint="D8"/>
      <w:sz w:val="20"/>
    </w:rPr>
  </w:style>
  <w:style w:type="paragraph" w:styleId="Ttulo">
    <w:name w:val="Title"/>
    <w:basedOn w:val="Normal"/>
    <w:next w:val="Normal"/>
    <w:link w:val="TtuloCarter"/>
    <w:uiPriority w:val="10"/>
    <w:qFormat/>
    <w:rsid w:val="00205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05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056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05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056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05665"/>
    <w:rPr>
      <w:rFonts w:ascii="Arial" w:hAnsi="Arial"/>
      <w:i/>
      <w:iCs/>
      <w:color w:val="404040" w:themeColor="text1" w:themeTint="BF"/>
      <w:sz w:val="20"/>
    </w:rPr>
  </w:style>
  <w:style w:type="paragraph" w:styleId="PargrafodaLista">
    <w:name w:val="List Paragraph"/>
    <w:basedOn w:val="Normal"/>
    <w:uiPriority w:val="34"/>
    <w:qFormat/>
    <w:rsid w:val="0020566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056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05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05665"/>
    <w:rPr>
      <w:rFonts w:ascii="Arial" w:hAnsi="Arial"/>
      <w:i/>
      <w:iCs/>
      <w:color w:val="0F4761" w:themeColor="accent1" w:themeShade="BF"/>
      <w:sz w:val="20"/>
    </w:rPr>
  </w:style>
  <w:style w:type="character" w:styleId="RefernciaIntensa">
    <w:name w:val="Intense Reference"/>
    <w:basedOn w:val="Tipodeletrapredefinidodopargrafo"/>
    <w:uiPriority w:val="32"/>
    <w:qFormat/>
    <w:rsid w:val="0020566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147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147CE"/>
    <w:rPr>
      <w:rFonts w:ascii="Arial" w:hAnsi="Arial"/>
      <w:sz w:val="20"/>
    </w:rPr>
  </w:style>
  <w:style w:type="paragraph" w:styleId="Rodap">
    <w:name w:val="footer"/>
    <w:basedOn w:val="Normal"/>
    <w:link w:val="RodapCarter"/>
    <w:uiPriority w:val="99"/>
    <w:unhideWhenUsed/>
    <w:rsid w:val="00E147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147CE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7CFA950BFB224BBD85F6DCC6514D2C" ma:contentTypeVersion="14" ma:contentTypeDescription="Criar um novo documento." ma:contentTypeScope="" ma:versionID="716c7544fb04f751124086528b848501">
  <xsd:schema xmlns:xsd="http://www.w3.org/2001/XMLSchema" xmlns:xs="http://www.w3.org/2001/XMLSchema" xmlns:p="http://schemas.microsoft.com/office/2006/metadata/properties" xmlns:ns3="0cd36cf0-eb85-45b9-a8dd-2e2ca7b1b681" xmlns:ns4="d8e7447e-9bb9-435c-ba85-0542c4885c71" targetNamespace="http://schemas.microsoft.com/office/2006/metadata/properties" ma:root="true" ma:fieldsID="3840864ed6b7e9361e72ef494c4ab435" ns3:_="" ns4:_="">
    <xsd:import namespace="0cd36cf0-eb85-45b9-a8dd-2e2ca7b1b681"/>
    <xsd:import namespace="d8e7447e-9bb9-435c-ba85-0542c4885c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_activity" minOccurs="0"/>
                <xsd:element ref="ns4:SharedWithDetails" minOccurs="0"/>
                <xsd:element ref="ns4:SharingHintHash" minOccurs="0"/>
                <xsd:element ref="ns4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36cf0-eb85-45b9-a8dd-2e2ca7b1b6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e7447e-9bb9-435c-ba85-0542c4885c71" elementFormDefault="qualified">
    <xsd:import namespace="http://schemas.microsoft.com/office/2006/documentManagement/types"/>
    <xsd:import namespace="http://schemas.microsoft.com/office/infopath/2007/PartnerControls"/>
    <xsd:element name="SharedWithDetails" ma:index="1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Sugestão de Partilha" ma:hidden="true" ma:internalName="SharingHintHash" ma:readOnly="true">
      <xsd:simpleType>
        <xsd:restriction base="dms:Text"/>
      </xsd:simpleType>
    </xsd:element>
    <xsd:element name="SharedWithUsers" ma:index="21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d36cf0-eb85-45b9-a8dd-2e2ca7b1b68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CC66EB-13B6-49E4-8910-98D5AFE2C7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d36cf0-eb85-45b9-a8dd-2e2ca7b1b681"/>
    <ds:schemaRef ds:uri="d8e7447e-9bb9-435c-ba85-0542c4885c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D99FCA-98B0-453E-8565-7E61C274D8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2D5890-D794-446F-9EB0-53BF096DCD55}">
  <ds:schemaRefs>
    <ds:schemaRef ds:uri="http://schemas.microsoft.com/office/infopath/2007/PartnerControls"/>
    <ds:schemaRef ds:uri="http://purl.org/dc/elements/1.1/"/>
    <ds:schemaRef ds:uri="0cd36cf0-eb85-45b9-a8dd-2e2ca7b1b681"/>
    <ds:schemaRef ds:uri="http://www.w3.org/XML/1998/namespace"/>
    <ds:schemaRef ds:uri="http://purl.org/dc/dcmitype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d8e7447e-9bb9-435c-ba85-0542c4885c71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48E89F2E-B212-4623-8D11-6E6EAEF59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336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46</cp:revision>
  <dcterms:created xsi:type="dcterms:W3CDTF">2024-12-06T10:50:00Z</dcterms:created>
  <dcterms:modified xsi:type="dcterms:W3CDTF">2024-12-06T18:25:00Z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0x0101004A7CFA950BFB224BBD85F6DCC6514D2C</vt:lpwstr>
  </property>
</Properties>
</file>