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60"/>
        <w:rPr/>
      </w:pPr>
      <w:r>
        <w:rPr/>
        <w:t>Assignment Flow User Story</w:t>
      </w:r>
    </w:p>
    <w:p>
      <w:pPr>
        <w:pStyle w:val="BodyTextsubtitle"/>
        <w:bidi w:val="0"/>
        <w:rPr/>
      </w:pPr>
      <w:r>
        <w:rPr/>
        <w:t>How a new student reaches and manages an assignment in Acadence</w:t>
      </w:r>
    </w:p>
    <w:p>
      <w:pPr>
        <w:pStyle w:val="BodyTextpurpose"/>
        <w:bidi w:val="0"/>
        <w:rPr/>
      </w:pPr>
      <w:r>
        <w:rPr/>
        <w:t>This document describes the assignment journey from the perspective of a student who has never used Acadence. It also shows the actions that must happen outside the student's account before an assignment can appear. The key point is that registration alone does not give a student assignments. A lecturer must create a course, enrol that student, and publish the assignment.</w:t>
      </w:r>
    </w:p>
    <w:p>
      <w:pPr>
        <w:pStyle w:val="Heading2"/>
        <w:bidi w:val="0"/>
        <w:rPr/>
      </w:pPr>
      <w:r>
        <w:rPr/>
        <w:t>People in the story</w:t>
      </w:r>
    </w:p>
    <w:p>
      <w:pPr>
        <w:pStyle w:val="BodyText"/>
        <w:bidi w:val="0"/>
        <w:rPr/>
      </w:pPr>
      <w:r>
        <w:rPr>
          <w:rStyle w:val="Strong"/>
        </w:rPr>
        <w:t>Amaka</w:t>
      </w:r>
      <w:r>
        <w:rPr/>
        <w:t xml:space="preserve"> is a new student who wants to find her coursework. She creates a student account, gives her lecturer the account email, opens her enrolled course, and uses the Assignments page to manage her personal task status.</w:t>
      </w:r>
    </w:p>
    <w:p>
      <w:pPr>
        <w:pStyle w:val="BodyText"/>
        <w:bidi w:val="0"/>
        <w:rPr/>
      </w:pPr>
      <w:r>
        <w:rPr>
          <w:rStyle w:val="Strong"/>
        </w:rPr>
        <w:t>Dr Musa</w:t>
      </w:r>
      <w:r>
        <w:rPr/>
        <w:t xml:space="preserve"> is the lecturer responsible for CSC401. He creates CSC401, enrols Amaka using her account email, then creates and publishes the assignment.</w:t>
      </w:r>
    </w:p>
    <w:p>
      <w:pPr>
        <w:pStyle w:val="BodyText"/>
        <w:bidi w:val="0"/>
        <w:rPr/>
      </w:pPr>
      <w:r>
        <w:rPr>
          <w:rStyle w:val="Strong"/>
        </w:rPr>
        <w:t>Acadence</w:t>
      </w:r>
      <w:r>
        <w:rPr/>
        <w:t xml:space="preserve"> validates each action, limits access by role and enrolment, then gives Amaka a personal task view based on assignments in her enrolled courses.</w:t>
      </w:r>
    </w:p>
    <w:p>
      <w:pPr>
        <w:pStyle w:val="Heading2"/>
        <w:bidi w:val="0"/>
        <w:rPr/>
      </w:pPr>
      <w:r>
        <w:rPr/>
        <w:t>The complete journey</w:t>
      </w:r>
    </w:p>
    <w:p>
      <w:pPr>
        <w:pStyle w:val="BodyText"/>
        <w:bidi w:val="0"/>
        <w:rPr/>
      </w:pPr>
      <w:r>
        <w:rPr/>
        <w:t>Amaka first hears that her department uses Acadence to share course work. She has no invitation, no course record, and no assignment when she arrives. The journey below starts at the public registration page and ends when she marks an assignment as completed.</w:t>
      </w:r>
    </w:p>
    <w:p>
      <w:pPr>
        <w:pStyle w:val="Heading3"/>
        <w:bidi w:val="0"/>
        <w:rPr/>
      </w:pPr>
      <w:r>
        <w:rPr/>
        <w:t>1 Amaka creates a student account</w:t>
      </w:r>
    </w:p>
    <w:p>
      <w:pPr>
        <w:pStyle w:val="BodyText"/>
        <w:bidi w:val="0"/>
        <w:rPr/>
      </w:pPr>
      <w:r>
        <w:rPr>
          <w:rStyle w:val="Strong"/>
        </w:rPr>
        <w:t>What Amaka sees.</w:t>
      </w:r>
      <w:r>
        <w:rPr/>
        <w:t xml:space="preserve"> On the registration page, she sees fields for full name, role, matric number, email address, and password. Student is the default role.</w:t>
      </w:r>
    </w:p>
    <w:p>
      <w:pPr>
        <w:pStyle w:val="BodyText"/>
        <w:bidi w:val="0"/>
        <w:rPr/>
      </w:pPr>
      <w:r>
        <w:rPr>
          <w:rStyle w:val="Strong"/>
        </w:rPr>
        <w:t>What Amaka does.</w:t>
      </w:r>
      <w:r>
        <w:rPr/>
        <w:t xml:space="preserve"> She enters her details, selects Student, and submits the form.</w:t>
      </w:r>
    </w:p>
    <w:p>
      <w:pPr>
        <w:pStyle w:val="BodyText"/>
        <w:bidi w:val="0"/>
        <w:rPr/>
      </w:pPr>
      <w:r>
        <w:rPr>
          <w:rStyle w:val="Strong"/>
        </w:rPr>
        <w:t>What Acadence does.</w:t>
      </w:r>
      <w:r>
        <w:rPr/>
        <w:t xml:space="preserve"> The system validates the details, creates a student account, signs her in, and takes her to the account area. It stores her email and matric number so her lecturer can identify her later.</w:t>
      </w:r>
    </w:p>
    <w:p>
      <w:pPr>
        <w:pStyle w:val="BodyText"/>
        <w:bidi w:val="0"/>
        <w:rPr/>
      </w:pPr>
      <w:r>
        <w:rPr>
          <w:rStyle w:val="Strong"/>
        </w:rPr>
        <w:t>What she should understand next.</w:t>
      </w:r>
      <w:r>
        <w:rPr/>
        <w:t xml:space="preserve"> Her account exists, but she is not automatically connected to any class. Her course list is empty until a lecturer enrols her.</w:t>
      </w:r>
    </w:p>
    <w:p>
      <w:pPr>
        <w:pStyle w:val="Heading3"/>
        <w:bidi w:val="0"/>
        <w:rPr/>
      </w:pPr>
      <w:r>
        <w:rPr/>
        <w:t>2 Amaka reaches her empty Courses page</w:t>
      </w:r>
    </w:p>
    <w:p>
      <w:pPr>
        <w:pStyle w:val="BodyText"/>
        <w:bidi w:val="0"/>
        <w:rPr/>
      </w:pPr>
      <w:r>
        <w:rPr>
          <w:rStyle w:val="Strong"/>
        </w:rPr>
        <w:t>What Amaka sees.</w:t>
      </w:r>
      <w:r>
        <w:rPr/>
        <w:t xml:space="preserve"> The Courses page shows an empty state: “You are not enrolled in any courses yet. Your lecturer can enrol you using your account email.”</w:t>
      </w:r>
    </w:p>
    <w:p>
      <w:pPr>
        <w:pStyle w:val="BodyText"/>
        <w:bidi w:val="0"/>
        <w:rPr/>
      </w:pPr>
      <w:r>
        <w:rPr>
          <w:rStyle w:val="Strong"/>
        </w:rPr>
        <w:t>What Amaka does.</w:t>
      </w:r>
      <w:r>
        <w:rPr/>
        <w:t xml:space="preserve"> She gives Dr Musa the same email address she used to create her account. The current enrolment process uses this email to identify her account.</w:t>
      </w:r>
    </w:p>
    <w:p>
      <w:pPr>
        <w:pStyle w:val="BodyText"/>
        <w:bidi w:val="0"/>
        <w:rPr/>
      </w:pPr>
      <w:r>
        <w:rPr>
          <w:rStyle w:val="Strong"/>
        </w:rPr>
        <w:t>Why this step matters.</w:t>
      </w:r>
      <w:r>
        <w:rPr/>
        <w:t xml:space="preserve"> There is no self-enrolment action for a student. The lecturer controls the course membership list, which prevents students from adding themselves to courses they do not attend.</w:t>
      </w:r>
    </w:p>
    <w:p>
      <w:pPr>
        <w:pStyle w:val="Heading3"/>
        <w:bidi w:val="0"/>
        <w:rPr/>
      </w:pPr>
      <w:r>
        <w:rPr/>
        <w:t>3 Dr Musa creates the course</w:t>
      </w:r>
    </w:p>
    <w:p>
      <w:pPr>
        <w:pStyle w:val="BodyText"/>
        <w:bidi w:val="0"/>
        <w:rPr/>
      </w:pPr>
      <w:r>
        <w:rPr>
          <w:rStyle w:val="Strong"/>
        </w:rPr>
        <w:t>What Dr Musa sees.</w:t>
      </w:r>
      <w:r>
        <w:rPr/>
        <w:t xml:space="preserve"> After creating a lecturer account and signing in, he opens Courses. The page gives him a New course button.</w:t>
      </w:r>
    </w:p>
    <w:p>
      <w:pPr>
        <w:pStyle w:val="BodyText"/>
        <w:bidi w:val="0"/>
        <w:rPr/>
      </w:pPr>
      <w:r>
        <w:rPr>
          <w:rStyle w:val="Strong"/>
        </w:rPr>
        <w:t>What Dr Musa does.</w:t>
      </w:r>
      <w:r>
        <w:rPr/>
        <w:t xml:space="preserve"> He selects New course and enters the course code, title, credit units, academic session, and semester. For this story, he creates CSC401, Software Engineering, for the first semester of 2026/2027.</w:t>
      </w:r>
    </w:p>
    <w:p>
      <w:pPr>
        <w:pStyle w:val="BodyText"/>
        <w:bidi w:val="0"/>
        <w:rPr/>
      </w:pPr>
      <w:r>
        <w:rPr>
          <w:rStyle w:val="Strong"/>
        </w:rPr>
        <w:t>What Acadence does.</w:t>
      </w:r>
      <w:r>
        <w:rPr/>
        <w:t xml:space="preserve"> The system records Dr Musa as the course owner. Only this lecturer can later edit the course, enrol students, and create or change its assignments.</w:t>
      </w:r>
    </w:p>
    <w:p>
      <w:pPr>
        <w:pStyle w:val="Heading3"/>
        <w:bidi w:val="0"/>
        <w:rPr/>
      </w:pPr>
      <w:r>
        <w:rPr/>
        <w:t>4 Dr Musa enrols Amaka in CSC401</w:t>
      </w:r>
    </w:p>
    <w:p>
      <w:pPr>
        <w:pStyle w:val="BodyText"/>
        <w:bidi w:val="0"/>
        <w:rPr/>
      </w:pPr>
      <w:r>
        <w:rPr>
          <w:rStyle w:val="Strong"/>
        </w:rPr>
        <w:t>What Dr Musa sees.</w:t>
      </w:r>
      <w:r>
        <w:rPr/>
        <w:t xml:space="preserve"> Inside CSC401, the Enrolled students section contains a Student email field and an Enrol student button.</w:t>
      </w:r>
    </w:p>
    <w:p>
      <w:pPr>
        <w:pStyle w:val="BodyText"/>
        <w:bidi w:val="0"/>
        <w:rPr/>
      </w:pPr>
      <w:r>
        <w:rPr>
          <w:rStyle w:val="Strong"/>
        </w:rPr>
        <w:t>What Dr Musa does.</w:t>
      </w:r>
      <w:r>
        <w:rPr/>
        <w:t xml:space="preserve"> He enters Amaka's account email and selects Enrol student.</w:t>
      </w:r>
    </w:p>
    <w:p>
      <w:pPr>
        <w:pStyle w:val="BodyText"/>
        <w:bidi w:val="0"/>
        <w:rPr/>
      </w:pPr>
      <w:r>
        <w:rPr>
          <w:rStyle w:val="Strong"/>
        </w:rPr>
        <w:t>What Acadence does.</w:t>
      </w:r>
      <w:r>
        <w:rPr/>
        <w:t xml:space="preserve"> The system checks that the email belongs to a student account, that Dr Musa owns CSC401, and that Amaka has not already been enrolled. It then creates the course membership record.</w:t>
      </w:r>
    </w:p>
    <w:p>
      <w:pPr>
        <w:pStyle w:val="BodyText"/>
        <w:bidi w:val="0"/>
        <w:rPr/>
      </w:pPr>
      <w:r>
        <w:rPr>
          <w:rStyle w:val="Strong"/>
        </w:rPr>
        <w:t>What changes for Amaka.</w:t>
      </w:r>
      <w:r>
        <w:rPr/>
        <w:t xml:space="preserve"> When she refreshes or returns to Courses, CSC401 appears in her course list. She can now open the course and read its permitted content.</w:t>
      </w:r>
    </w:p>
    <w:p>
      <w:pPr>
        <w:pStyle w:val="Heading3"/>
        <w:bidi w:val="0"/>
        <w:rPr/>
      </w:pPr>
      <w:r>
        <w:rPr/>
        <w:t>5 Dr Musa publishes an assignment</w:t>
      </w:r>
    </w:p>
    <w:p>
      <w:pPr>
        <w:pStyle w:val="BodyText"/>
        <w:bidi w:val="0"/>
        <w:rPr/>
      </w:pPr>
      <w:r>
        <w:rPr>
          <w:rStyle w:val="Strong"/>
        </w:rPr>
        <w:t>What Dr Musa sees.</w:t>
      </w:r>
      <w:r>
        <w:rPr/>
        <w:t xml:space="preserve"> In CSC401, the Assignments section has a New assignment button.</w:t>
      </w:r>
    </w:p>
    <w:p>
      <w:pPr>
        <w:pStyle w:val="BodyText"/>
        <w:bidi w:val="0"/>
        <w:rPr/>
      </w:pPr>
      <w:r>
        <w:rPr>
          <w:rStyle w:val="Strong"/>
        </w:rPr>
        <w:t>What Dr Musa does.</w:t>
      </w:r>
      <w:r>
        <w:rPr/>
        <w:t xml:space="preserve"> He creates “Requirements specification” with a clear description, a deadline, and a difficulty rating from 1 to 5. He saves the form.</w:t>
      </w:r>
    </w:p>
    <w:p>
      <w:pPr>
        <w:pStyle w:val="BodyText"/>
        <w:bidi w:val="0"/>
        <w:rPr/>
      </w:pPr>
      <w:r>
        <w:rPr>
          <w:rStyle w:val="Strong"/>
        </w:rPr>
        <w:t>What Acadence does.</w:t>
      </w:r>
      <w:r>
        <w:rPr/>
        <w:t xml:space="preserve"> The system validates the assignment and links it to CSC401. It makes the assignment available to students currently enrolled in that course, persists a New assignment notification for them, and sends that notification to connected browsers. The current interface shows the assignment inside the course; it does not yet give students a distinct published or draft state.</w:t>
      </w:r>
    </w:p>
    <w:p>
      <w:pPr>
        <w:pStyle w:val="Heading3"/>
        <w:bidi w:val="0"/>
        <w:rPr/>
      </w:pPr>
      <w:r>
        <w:rPr/>
        <w:t>6 Amaka finds the assignment in her course</w:t>
      </w:r>
    </w:p>
    <w:p>
      <w:pPr>
        <w:pStyle w:val="BodyText"/>
        <w:bidi w:val="0"/>
        <w:rPr/>
      </w:pPr>
      <w:r>
        <w:rPr>
          <w:rStyle w:val="Strong"/>
        </w:rPr>
        <w:t>What Amaka sees.</w:t>
      </w:r>
      <w:r>
        <w:rPr/>
        <w:t xml:space="preserve"> She opens Courses, selects CSC401, and sees the Assignments section above announcements, attendance, and schedules. The assignment card shows its title, description, deadline, and difficulty.</w:t>
      </w:r>
    </w:p>
    <w:p>
      <w:pPr>
        <w:pStyle w:val="BodyText"/>
        <w:bidi w:val="0"/>
        <w:rPr/>
      </w:pPr>
      <w:r>
        <w:rPr>
          <w:rStyle w:val="Strong"/>
        </w:rPr>
        <w:t>What Amaka does.</w:t>
      </w:r>
      <w:r>
        <w:rPr/>
        <w:t xml:space="preserve"> She reads the work and its due date. This course view is where she understands the assignment in its course context.</w:t>
      </w:r>
    </w:p>
    <w:p>
      <w:pPr>
        <w:pStyle w:val="BodyText"/>
        <w:bidi w:val="0"/>
        <w:rPr/>
      </w:pPr>
      <w:r>
        <w:rPr>
          <w:rStyle w:val="Strong"/>
        </w:rPr>
        <w:t>What Acadence does.</w:t>
      </w:r>
      <w:r>
        <w:rPr/>
        <w:t xml:space="preserve"> The system checks that Amaka is enrolled in CSC401 before returning the course assignment list. A student outside the course cannot use the page to read its assignments.</w:t>
      </w:r>
    </w:p>
    <w:p>
      <w:pPr>
        <w:pStyle w:val="Heading3"/>
        <w:bidi w:val="0"/>
        <w:rPr/>
      </w:pPr>
      <w:r>
        <w:rPr/>
        <w:t>7 Amaka manages the assignment from one personal list</w:t>
      </w:r>
    </w:p>
    <w:p>
      <w:pPr>
        <w:pStyle w:val="BodyText"/>
        <w:bidi w:val="0"/>
        <w:rPr/>
      </w:pPr>
      <w:r>
        <w:rPr>
          <w:rStyle w:val="Strong"/>
        </w:rPr>
        <w:t>What Amaka sees.</w:t>
      </w:r>
      <w:r>
        <w:rPr/>
        <w:t xml:space="preserve"> The main navigation includes Assignments. This page combines assignments from every course in which she is enrolled. Each task shows the course code, title, description, deadline, difficulty, current status, and a calculated priority label.</w:t>
      </w:r>
    </w:p>
    <w:p>
      <w:pPr>
        <w:pStyle w:val="BodyText"/>
        <w:bidi w:val="0"/>
        <w:rPr/>
      </w:pPr>
      <w:r>
        <w:rPr>
          <w:rStyle w:val="Strong"/>
        </w:rPr>
        <w:t>What Amaka can do.</w:t>
      </w:r>
      <w:r>
        <w:rPr/>
        <w:t xml:space="preserve"> She can filter by all, pending, completed, or overdue; narrow the list to one course; and sort by priority, deadline, course, or difficulty.</w:t>
      </w:r>
    </w:p>
    <w:p>
      <w:pPr>
        <w:pStyle w:val="BodyText"/>
        <w:bidi w:val="0"/>
        <w:rPr/>
      </w:pPr>
      <w:r>
        <w:rPr>
          <w:rStyle w:val="Strong"/>
        </w:rPr>
        <w:t>How the priority is determined.</w:t>
      </w:r>
      <w:r>
        <w:rPr/>
        <w:t xml:space="preserve"> Acadence calculates the label from the deadline, difficulty, and course credit units. It is a transparent rule to help Amaka decide what to work on first. It does not make a prediction or generate study advice.</w:t>
      </w:r>
    </w:p>
    <w:p>
      <w:pPr>
        <w:pStyle w:val="Heading3"/>
        <w:bidi w:val="0"/>
        <w:rPr/>
      </w:pPr>
      <w:r>
        <w:rPr/>
        <w:t>8 Amaka records her progress</w:t>
      </w:r>
    </w:p>
    <w:p>
      <w:pPr>
        <w:pStyle w:val="BodyText"/>
        <w:bidi w:val="0"/>
        <w:rPr/>
      </w:pPr>
      <w:r>
        <w:rPr>
          <w:rStyle w:val="Strong"/>
        </w:rPr>
        <w:t>What Amaka does.</w:t>
      </w:r>
      <w:r>
        <w:rPr/>
        <w:t xml:space="preserve"> After completing her requirements specification, she selects Mark completed on the personal Assignments page.</w:t>
      </w:r>
    </w:p>
    <w:p>
      <w:pPr>
        <w:pStyle w:val="BodyText"/>
        <w:bidi w:val="0"/>
        <w:rPr/>
      </w:pPr>
      <w:r>
        <w:rPr>
          <w:rStyle w:val="Strong"/>
        </w:rPr>
        <w:t>What Acadence does.</w:t>
      </w:r>
      <w:r>
        <w:rPr/>
        <w:t xml:space="preserve"> The system changes only Amaka's personal task status to Completed. It does not upload a file, award a mark, or change the assignment for other students. If she selects Mark pending later, the system returns her personal task to Pending.</w:t>
      </w:r>
    </w:p>
    <w:p>
      <w:pPr>
        <w:pStyle w:val="BodyText"/>
        <w:bidi w:val="0"/>
        <w:rPr/>
      </w:pPr>
      <w:r>
        <w:rPr>
          <w:rStyle w:val="Strong"/>
        </w:rPr>
        <w:t>If the deadline passes first.</w:t>
      </w:r>
      <w:r>
        <w:rPr/>
        <w:t xml:space="preserve"> An unfinished task appears as Overdue. This status is calculated from the assignment deadline and Amaka's personal completion record.</w:t>
      </w:r>
    </w:p>
    <w:p>
      <w:pPr>
        <w:pStyle w:val="Heading2"/>
        <w:bidi w:val="0"/>
        <w:rPr/>
      </w:pPr>
      <w:r>
        <w:rPr/>
        <w:t>What the student experience should communicate</w:t>
      </w:r>
    </w:p>
    <w:tbl>
      <w:tblPr>
        <w:tblW w:w="11339" w:type="dxa"/>
        <w:jc w:val="start"/>
        <w:tblInd w:w="0" w:type="dxa"/>
        <w:tblLayout w:type="fixed"/>
        <w:tblCellMar>
          <w:top w:w="28" w:type="dxa"/>
          <w:start w:w="28" w:type="dxa"/>
          <w:bottom w:w="28" w:type="dxa"/>
          <w:end w:w="28" w:type="dxa"/>
        </w:tblCellMar>
      </w:tblPr>
      <w:tblGrid>
        <w:gridCol w:w="3253"/>
        <w:gridCol w:w="8086"/>
      </w:tblGrid>
      <w:tr>
        <w:trPr>
          <w:tblHeader w:val="true"/>
        </w:trPr>
        <w:tc>
          <w:tcPr>
            <w:tcW w:w="3253" w:type="dxa"/>
            <w:tcBorders/>
            <w:vAlign w:val="center"/>
          </w:tcPr>
          <w:p>
            <w:pPr>
              <w:pStyle w:val="TableHeading"/>
              <w:bidi w:val="0"/>
              <w:spacing w:before="0" w:after="180"/>
              <w:ind w:hanging="0" w:start="0" w:end="0"/>
              <w:jc w:val="start"/>
              <w:rPr/>
            </w:pPr>
            <w:r>
              <w:rPr/>
              <w:t>Moment</w:t>
            </w:r>
          </w:p>
        </w:tc>
        <w:tc>
          <w:tcPr>
            <w:tcW w:w="8086" w:type="dxa"/>
            <w:tcBorders/>
            <w:vAlign w:val="center"/>
          </w:tcPr>
          <w:p>
            <w:pPr>
              <w:pStyle w:val="TableHeading"/>
              <w:suppressLineNumbers/>
              <w:shd w:fill="1F3B5B" w:val="clear"/>
              <w:bidi w:val="0"/>
              <w:spacing w:before="0" w:after="180"/>
              <w:jc w:val="start"/>
              <w:rPr/>
            </w:pPr>
            <w:r>
              <w:rPr/>
              <w:t>Message the interface should make clear</w:t>
            </w:r>
          </w:p>
        </w:tc>
      </w:tr>
      <w:tr>
        <w:trPr/>
        <w:tc>
          <w:tcPr>
            <w:tcW w:w="3253" w:type="dxa"/>
            <w:tcBorders/>
            <w:vAlign w:val="center"/>
          </w:tcPr>
          <w:p>
            <w:pPr>
              <w:pStyle w:val="TableContents"/>
              <w:bidi w:val="0"/>
              <w:spacing w:before="0" w:after="180"/>
              <w:rPr/>
            </w:pPr>
            <w:r>
              <w:rPr/>
              <w:t>Immediately after registration</w:t>
            </w:r>
          </w:p>
        </w:tc>
        <w:tc>
          <w:tcPr>
            <w:tcW w:w="8086" w:type="dxa"/>
            <w:tcBorders/>
            <w:vAlign w:val="center"/>
          </w:tcPr>
          <w:p>
            <w:pPr>
              <w:pStyle w:val="TableContents"/>
              <w:bidi w:val="0"/>
              <w:spacing w:before="0" w:after="180"/>
              <w:rPr/>
            </w:pPr>
            <w:r>
              <w:rPr/>
              <w:t>“</w:t>
            </w:r>
            <w:r>
              <w:rPr/>
              <w:t>Your account is ready. You will see course work after your lecturer enrols you in a course.”</w:t>
            </w:r>
          </w:p>
        </w:tc>
      </w:tr>
      <w:tr>
        <w:trPr/>
        <w:tc>
          <w:tcPr>
            <w:tcW w:w="3253" w:type="dxa"/>
            <w:tcBorders/>
            <w:vAlign w:val="center"/>
          </w:tcPr>
          <w:p>
            <w:pPr>
              <w:pStyle w:val="TableContents"/>
              <w:bidi w:val="0"/>
              <w:spacing w:before="0" w:after="180"/>
              <w:rPr/>
            </w:pPr>
            <w:r>
              <w:rPr/>
              <w:t>When the course list is empty</w:t>
            </w:r>
          </w:p>
        </w:tc>
        <w:tc>
          <w:tcPr>
            <w:tcW w:w="8086" w:type="dxa"/>
            <w:tcBorders/>
            <w:vAlign w:val="center"/>
          </w:tcPr>
          <w:p>
            <w:pPr>
              <w:pStyle w:val="TableContents"/>
              <w:bidi w:val="0"/>
              <w:spacing w:before="0" w:after="180"/>
              <w:rPr/>
            </w:pPr>
            <w:r>
              <w:rPr/>
              <w:t>“</w:t>
            </w:r>
            <w:r>
              <w:rPr/>
              <w:t>You are not enrolled in any courses yet. Share your Acadence email with your lecturer.”</w:t>
            </w:r>
          </w:p>
        </w:tc>
      </w:tr>
      <w:tr>
        <w:trPr/>
        <w:tc>
          <w:tcPr>
            <w:tcW w:w="3253" w:type="dxa"/>
            <w:tcBorders/>
            <w:vAlign w:val="center"/>
          </w:tcPr>
          <w:p>
            <w:pPr>
              <w:pStyle w:val="TableContents"/>
              <w:bidi w:val="0"/>
              <w:spacing w:before="0" w:after="180"/>
              <w:rPr/>
            </w:pPr>
            <w:r>
              <w:rPr/>
              <w:t>When a student opens an enrolled course</w:t>
            </w:r>
          </w:p>
        </w:tc>
        <w:tc>
          <w:tcPr>
            <w:tcW w:w="8086" w:type="dxa"/>
            <w:tcBorders/>
            <w:vAlign w:val="center"/>
          </w:tcPr>
          <w:p>
            <w:pPr>
              <w:pStyle w:val="TableContents"/>
              <w:bidi w:val="0"/>
              <w:spacing w:before="0" w:after="180"/>
              <w:rPr/>
            </w:pPr>
            <w:r>
              <w:rPr/>
              <w:t>“</w:t>
            </w:r>
            <w:r>
              <w:rPr/>
              <w:t>Assignments for this course appear here, alongside the course deadline and details.”</w:t>
            </w:r>
          </w:p>
        </w:tc>
      </w:tr>
      <w:tr>
        <w:trPr/>
        <w:tc>
          <w:tcPr>
            <w:tcW w:w="3253" w:type="dxa"/>
            <w:tcBorders/>
            <w:vAlign w:val="center"/>
          </w:tcPr>
          <w:p>
            <w:pPr>
              <w:pStyle w:val="TableContents"/>
              <w:bidi w:val="0"/>
              <w:spacing w:before="0" w:after="180"/>
              <w:rPr/>
            </w:pPr>
            <w:r>
              <w:rPr/>
              <w:t>When a student opens Assignments</w:t>
            </w:r>
          </w:p>
        </w:tc>
        <w:tc>
          <w:tcPr>
            <w:tcW w:w="8086" w:type="dxa"/>
            <w:tcBorders/>
            <w:vAlign w:val="center"/>
          </w:tcPr>
          <w:p>
            <w:pPr>
              <w:pStyle w:val="TableContents"/>
              <w:bidi w:val="0"/>
              <w:spacing w:before="0" w:after="180"/>
              <w:rPr/>
            </w:pPr>
            <w:r>
              <w:rPr/>
              <w:t>“</w:t>
            </w:r>
            <w:r>
              <w:rPr/>
              <w:t>This is your personal work list. Marking an item completed records your own progress; it is not a formal submission.”</w:t>
            </w:r>
          </w:p>
        </w:tc>
      </w:tr>
      <w:tr>
        <w:trPr/>
        <w:tc>
          <w:tcPr>
            <w:tcW w:w="3253" w:type="dxa"/>
            <w:tcBorders/>
            <w:vAlign w:val="center"/>
          </w:tcPr>
          <w:p>
            <w:pPr>
              <w:pStyle w:val="TableContents"/>
              <w:bidi w:val="0"/>
              <w:spacing w:before="0" w:after="180"/>
              <w:rPr/>
            </w:pPr>
            <w:r>
              <w:rPr/>
              <w:t>When the list is empty</w:t>
            </w:r>
          </w:p>
        </w:tc>
        <w:tc>
          <w:tcPr>
            <w:tcW w:w="8086" w:type="dxa"/>
            <w:tcBorders/>
            <w:vAlign w:val="center"/>
          </w:tcPr>
          <w:p>
            <w:pPr>
              <w:pStyle w:val="TableContents"/>
              <w:bidi w:val="0"/>
              <w:spacing w:before="0" w:after="180"/>
              <w:rPr/>
            </w:pPr>
            <w:r>
              <w:rPr/>
              <w:t>“</w:t>
            </w:r>
            <w:r>
              <w:rPr/>
              <w:t>You have no assignments in your enrolled courses yet.”</w:t>
            </w:r>
          </w:p>
        </w:tc>
      </w:tr>
    </w:tbl>
    <w:p>
      <w:pPr>
        <w:pStyle w:val="Heading2"/>
        <w:bidi w:val="0"/>
        <w:rPr/>
      </w:pPr>
      <w:r>
        <w:rPr/>
        <w:t>Flow summary</w:t>
      </w:r>
    </w:p>
    <w:p>
      <w:pPr>
        <w:pStyle w:val="BodyText"/>
        <w:bidi w:val="0"/>
        <w:rPr/>
      </w:pPr>
      <w:r>
        <w:rPr/>
        <w:t>A student sees an assignment only after these dependencies are complete:</w:t>
      </w:r>
    </w:p>
    <w:p>
      <w:pPr>
        <w:pStyle w:val="BodyText"/>
        <w:bidi w:val="0"/>
        <w:rPr/>
      </w:pPr>
      <w:r>
        <w:rPr/>
        <w:t>1. The student has a student account.</w:t>
      </w:r>
    </w:p>
    <w:p>
      <w:pPr>
        <w:pStyle w:val="BodyText"/>
        <w:bidi w:val="0"/>
        <w:rPr/>
      </w:pPr>
      <w:r>
        <w:rPr/>
        <w:t>2. A lecturer has created the course.</w:t>
      </w:r>
    </w:p>
    <w:p>
      <w:pPr>
        <w:pStyle w:val="BodyText"/>
        <w:bidi w:val="0"/>
        <w:rPr/>
      </w:pPr>
      <w:r>
        <w:rPr/>
        <w:t>3. The lecturer has enrolled the student in that course.</w:t>
      </w:r>
    </w:p>
    <w:p>
      <w:pPr>
        <w:pStyle w:val="BodyText"/>
        <w:bidi w:val="0"/>
        <w:rPr/>
      </w:pPr>
      <w:r>
        <w:rPr/>
        <w:t>4. The lecturer has created the assignment inside that course.</w:t>
        <w:br/>
        <w:t>5. The student opens either the course assignment list or the personal Assignments page.</w:t>
      </w:r>
    </w:p>
    <w:p>
      <w:pPr>
        <w:pStyle w:val="Heading2"/>
        <w:bidi w:val="0"/>
        <w:rPr/>
      </w:pPr>
      <w:r>
        <w:rPr/>
        <w:t>Questions this flow raises for the UI correction</w:t>
      </w:r>
    </w:p>
    <w:p>
      <w:pPr>
        <w:pStyle w:val="BodyText"/>
        <w:bidi w:val="0"/>
        <w:rPr/>
      </w:pPr>
      <w:r>
        <w:rPr/>
        <w:t>The first student action has no completion path within the application. Amaka can create an account, but the next required action belongs to a lecturer and happens through a separate conversation. The registration and empty-course screens need to state this dependency plainly.</w:t>
      </w:r>
    </w:p>
    <w:p>
      <w:pPr>
        <w:pStyle w:val="BodyText"/>
        <w:bidi w:val="0"/>
        <w:rPr/>
      </w:pPr>
      <w:r>
        <w:rPr/>
        <w:t>The lecturer also has a sequence to complete before any student can see course work: create the course, enrol the student, then create the assignment. The lecturer experience should make this order visible, especially when the course has no students or no assignments.</w:t>
      </w:r>
    </w:p>
    <w:p>
      <w:pPr>
        <w:pStyle w:val="BodyText"/>
        <w:bidi w:val="0"/>
        <w:rPr/>
      </w:pPr>
      <w:r>
        <w:rPr/>
        <w:t>Amaka sees the same assignment in two places for different reasons. The course page gives its academic context; the Assignments page gives her a cross-course task list. The interface should explain that distinction so the two views do not appear to duplicate each other.</w:t>
      </w:r>
    </w:p>
    <w:p>
      <w:pPr>
        <w:pStyle w:val="BodyTextsmall"/>
        <w:bidi w:val="0"/>
        <w:spacing w:before="0" w:after="180"/>
        <w:rPr/>
      </w:pPr>
      <w:r>
        <w:rPr/>
        <w:t>This user story reflects the current intended product rules and the existing implementation. It is a reference for simplifying the navigation, empty states, and assignment screens during the UI correction work.</w:t>
      </w:r>
    </w:p>
    <w:sectPr>
      <w:type w:val="nextPage"/>
      <w:pgSz w:w="12240" w:h="15840"/>
      <w:pgMar w:left="1152" w:right="1152" w:gutter="0" w:header="0" w:top="1152" w:footer="0" w:bottom="1152"/>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sans-serif" w:hAnsi="Arial;sans-serif" w:eastAsia="Arial;sans-serif" w:cs="Arial;sans-serif"/>
      <w:color w:val="161616"/>
      <w:sz w:val="22"/>
      <w:szCs w:val="22"/>
      <w:lang w:val="en-US" w:eastAsia="zh-CN" w:bidi="hi-IN"/>
    </w:rPr>
  </w:style>
  <w:style w:type="paragraph" w:styleId="Heading1">
    <w:name w:val="heading 1"/>
    <w:basedOn w:val="Heading"/>
    <w:next w:val="BodyText"/>
    <w:qFormat/>
    <w:pPr>
      <w:spacing w:before="240" w:after="160"/>
    </w:pPr>
    <w:rPr>
      <w:b/>
      <w:bCs/>
      <w:color w:val="000000"/>
      <w:sz w:val="48"/>
      <w:szCs w:val="48"/>
    </w:rPr>
  </w:style>
  <w:style w:type="paragraph" w:styleId="Heading2">
    <w:name w:val="heading 2"/>
    <w:basedOn w:val="Heading"/>
    <w:next w:val="BodyText"/>
    <w:qFormat/>
    <w:pPr>
      <w:keepNext w:val="true"/>
      <w:spacing w:before="440" w:after="160"/>
      <w:ind w:start="440" w:end="440"/>
      <w:outlineLvl w:val="1"/>
    </w:pPr>
    <w:rPr>
      <w:rFonts w:ascii="Liberation Serif" w:hAnsi="Liberation Serif" w:eastAsia="Noto Serif CJK SC" w:cs="Liberation Sans"/>
      <w:b/>
      <w:bCs/>
      <w:color w:val="000000"/>
      <w:sz w:val="32"/>
      <w:szCs w:val="32"/>
    </w:rPr>
  </w:style>
  <w:style w:type="paragraph" w:styleId="Heading3">
    <w:name w:val="heading 3"/>
    <w:basedOn w:val="Heading"/>
    <w:next w:val="BodyText"/>
    <w:qFormat/>
    <w:pPr>
      <w:keepNext w:val="true"/>
      <w:spacing w:before="320" w:after="100"/>
      <w:ind w:start="320" w:end="320"/>
      <w:outlineLvl w:val="2"/>
    </w:pPr>
    <w:rPr>
      <w:rFonts w:ascii="Liberation Serif" w:hAnsi="Liberation Serif" w:eastAsia="Noto Serif CJK SC" w:cs="Liberation Sans"/>
      <w:b/>
      <w:bCs/>
      <w:color w:val="000000"/>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le">
    <w:name w:val="Body Text.subtitle"/>
    <w:basedOn w:val="BodyText"/>
    <w:qFormat/>
    <w:pPr>
      <w:spacing w:before="0" w:after="360"/>
    </w:pPr>
    <w:rPr>
      <w:sz w:val="24"/>
      <w:szCs w:val="24"/>
    </w:rPr>
  </w:style>
  <w:style w:type="paragraph" w:styleId="BodyTextpurpose">
    <w:name w:val="Body Text.purpose"/>
    <w:basedOn w:val="BodyText"/>
    <w:qFormat/>
    <w:pPr>
      <w:spacing w:before="0" w:after="360"/>
    </w:pPr>
    <w:rPr/>
  </w:style>
  <w:style w:type="paragraph" w:styleId="TableHeading">
    <w:name w:val="Table Heading"/>
    <w:basedOn w:val="TableContents"/>
    <w:qFormat/>
    <w:pPr>
      <w:suppressLineNumbers/>
      <w:shd w:fill="1F3B5B" w:val="clear"/>
      <w:jc w:val="start"/>
    </w:pPr>
    <w:rPr>
      <w:b/>
      <w:bCs/>
      <w:color w:val="FFFFFF"/>
    </w:rPr>
  </w:style>
  <w:style w:type="paragraph" w:styleId="BodyTextsmall">
    <w:name w:val="Body Text.small"/>
    <w:basedOn w:val="BodyText"/>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Assignment Flow User Story</dc:title>
</cp:coreProperties>
</file>

<file path=docProps/custom.xml><?xml version="1.0" encoding="utf-8"?>
<Properties xmlns="http://schemas.openxmlformats.org/officeDocument/2006/custom-properties" xmlns:vt="http://schemas.openxmlformats.org/officeDocument/2006/docPropsVTypes"/>
</file>