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F640" w14:textId="68A88F48" w:rsidR="00A15E88" w:rsidRPr="00A15E88" w:rsidRDefault="00A15E88" w:rsidP="00A15E88">
      <w:r w:rsidRPr="00A15E88">
        <w:rPr>
          <w:b/>
          <w:bCs/>
        </w:rPr>
        <w:t xml:space="preserve"># Side Quests Patent Figures </w:t>
      </w:r>
    </w:p>
    <w:p w14:paraId="30CFF514" w14:textId="77777777" w:rsidR="00A15E88" w:rsidRPr="00A15E88" w:rsidRDefault="00A15E88" w:rsidP="00A15E88"/>
    <w:p w14:paraId="34F9D576" w14:textId="77777777" w:rsidR="00A15E88" w:rsidRPr="00A15E88" w:rsidRDefault="00A15E88" w:rsidP="00A15E88">
      <w:r w:rsidRPr="00A15E88">
        <w:t>This document is a draft figure packet for provisional filing preparation.</w:t>
      </w:r>
    </w:p>
    <w:p w14:paraId="50027566" w14:textId="77777777" w:rsidR="00A15E88" w:rsidRPr="00A15E88" w:rsidRDefault="00A15E88" w:rsidP="00A15E88"/>
    <w:p w14:paraId="101E2A38" w14:textId="6B54F6A3" w:rsidR="00A15E88" w:rsidRPr="00A15E88" w:rsidRDefault="00A15E88" w:rsidP="00A15E88">
      <w:r w:rsidRPr="00A15E88">
        <w:rPr>
          <w:b/>
          <w:bCs/>
        </w:rPr>
        <w:t>## FIG. 1 - System Architecture (Decoupled Brain Model)</w:t>
      </w:r>
    </w:p>
    <w:p w14:paraId="70465971" w14:textId="723ECCF0" w:rsidR="00A15E88" w:rsidRPr="00A15E88" w:rsidRDefault="00A15E88" w:rsidP="00A15E88">
      <w:r>
        <w:rPr>
          <w:noProof/>
        </w:rPr>
        <w:drawing>
          <wp:inline distT="0" distB="0" distL="0" distR="0" wp14:anchorId="6E49030E" wp14:editId="77A97437">
            <wp:extent cx="5943600" cy="2373630"/>
            <wp:effectExtent l="0" t="0" r="0" b="1270"/>
            <wp:docPr id="29727619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6193" name="Picture 1" descr="A diagram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3630"/>
                    </a:xfrm>
                    <a:prstGeom prst="rect">
                      <a:avLst/>
                    </a:prstGeom>
                  </pic:spPr>
                </pic:pic>
              </a:graphicData>
            </a:graphic>
          </wp:inline>
        </w:drawing>
      </w:r>
      <w:r>
        <w:br/>
      </w:r>
      <w:r w:rsidRPr="00A15E88">
        <w:t>Caption:</w:t>
      </w:r>
    </w:p>
    <w:p w14:paraId="55E23F9B" w14:textId="77777777" w:rsidR="00A15E88" w:rsidRPr="00A15E88" w:rsidRDefault="00A15E88" w:rsidP="00A15E88">
      <w:r w:rsidRPr="00A15E88">
        <w:t>FIG. 1 illustrates the modular, decoupled system topology comprising per-client adapters, two separate message capture paths, a local Brain Daemon, graph/vector persistence, and a user-facing memory control panel.</w:t>
      </w:r>
    </w:p>
    <w:p w14:paraId="63AF0B60" w14:textId="6D8CCD9A" w:rsidR="00A15E88" w:rsidRPr="00A15E88" w:rsidRDefault="00A15E88" w:rsidP="00A15E88"/>
    <w:p w14:paraId="5518C174" w14:textId="77777777" w:rsidR="00A15E88" w:rsidRDefault="00A15E88" w:rsidP="00A15E88"/>
    <w:p w14:paraId="0BF21F2E" w14:textId="77777777" w:rsidR="00A15E88" w:rsidRDefault="00A15E88" w:rsidP="00A15E88"/>
    <w:p w14:paraId="1E2CA1B0" w14:textId="77777777" w:rsidR="00A15E88" w:rsidRPr="00A15E88" w:rsidRDefault="00A15E88" w:rsidP="00A15E88"/>
    <w:p w14:paraId="07EDA615" w14:textId="5D3C3F4B" w:rsidR="00A15E88" w:rsidRPr="00A15E88" w:rsidRDefault="00A15E88" w:rsidP="00A15E88">
      <w:r w:rsidRPr="00A15E88">
        <w:rPr>
          <w:b/>
          <w:bCs/>
        </w:rPr>
        <w:t>## FIG. 2 - 9-Step Gated Consolidation Loop</w:t>
      </w:r>
    </w:p>
    <w:p w14:paraId="4309344B" w14:textId="18707F12" w:rsidR="00A15E88" w:rsidRPr="00A15E88" w:rsidRDefault="00A15E88" w:rsidP="00A15E88">
      <w:r>
        <w:rPr>
          <w:noProof/>
        </w:rPr>
        <w:lastRenderedPageBreak/>
        <w:drawing>
          <wp:inline distT="0" distB="0" distL="0" distR="0" wp14:anchorId="2EC789B1" wp14:editId="0D43A8A5">
            <wp:extent cx="4469130" cy="8229600"/>
            <wp:effectExtent l="0" t="0" r="1270" b="0"/>
            <wp:docPr id="1185672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22" name="Picture 2"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69130" cy="8229600"/>
                    </a:xfrm>
                    <a:prstGeom prst="rect">
                      <a:avLst/>
                    </a:prstGeom>
                  </pic:spPr>
                </pic:pic>
              </a:graphicData>
            </a:graphic>
          </wp:inline>
        </w:drawing>
      </w:r>
      <w:r>
        <w:br/>
      </w:r>
      <w:r w:rsidRPr="00A15E88">
        <w:lastRenderedPageBreak/>
        <w:t>Caption:</w:t>
      </w:r>
    </w:p>
    <w:p w14:paraId="5327F1B8" w14:textId="77777777" w:rsidR="00A15E88" w:rsidRPr="00A15E88" w:rsidRDefault="00A15E88" w:rsidP="00A15E88">
      <w:r w:rsidRPr="00A15E88">
        <w:t>FIG. 2 illustrates the ordered 9-step consolidation method from incoming turn or document input through concept extraction, dual-process classification, sub-graph routing, relation extraction, confidence gating, retrieval, arbitration, and pathway update with auditable lineage.</w:t>
      </w:r>
    </w:p>
    <w:p w14:paraId="3E70FCD5" w14:textId="53897D4A" w:rsidR="00A15E88" w:rsidRPr="00A15E88" w:rsidRDefault="00A15E88" w:rsidP="00A15E88"/>
    <w:p w14:paraId="5E77E235" w14:textId="77777777" w:rsidR="00A15E88" w:rsidRPr="00A15E88" w:rsidRDefault="00A15E88" w:rsidP="00A15E88"/>
    <w:p w14:paraId="382DEEFC" w14:textId="77777777" w:rsidR="00A15E88" w:rsidRPr="00A15E88" w:rsidRDefault="00A15E88" w:rsidP="00A15E88">
      <w:r w:rsidRPr="00A15E88">
        <w:rPr>
          <w:b/>
          <w:bCs/>
        </w:rPr>
        <w:t>## FIG. 3 - Cocktail Party Effect: Selective Attention and Confidence Gating</w:t>
      </w:r>
    </w:p>
    <w:p w14:paraId="55360A52" w14:textId="136D1F36" w:rsidR="00A15E88" w:rsidRPr="00A15E88" w:rsidRDefault="00A15E88" w:rsidP="00A15E88">
      <w:r>
        <w:rPr>
          <w:noProof/>
        </w:rPr>
        <w:drawing>
          <wp:inline distT="0" distB="0" distL="0" distR="0" wp14:anchorId="5C5309AC" wp14:editId="1E646A03">
            <wp:extent cx="5943600" cy="4234815"/>
            <wp:effectExtent l="0" t="0" r="0" b="0"/>
            <wp:docPr id="1723316809" name="Picture 3"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6809" name="Picture 3" descr="A diagram of a business mode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34815"/>
                    </a:xfrm>
                    <a:prstGeom prst="rect">
                      <a:avLst/>
                    </a:prstGeom>
                  </pic:spPr>
                </pic:pic>
              </a:graphicData>
            </a:graphic>
          </wp:inline>
        </w:drawing>
      </w:r>
    </w:p>
    <w:p w14:paraId="1536BE4A" w14:textId="77777777" w:rsidR="00A15E88" w:rsidRPr="00A15E88" w:rsidRDefault="00A15E88" w:rsidP="00A15E88">
      <w:r w:rsidRPr="00A15E88">
        <w:t>Caption:</w:t>
      </w:r>
    </w:p>
    <w:p w14:paraId="702ECFD5" w14:textId="77777777" w:rsidR="00A15E88" w:rsidRPr="00A15E88" w:rsidRDefault="00A15E88" w:rsidP="00A15E88">
      <w:r w:rsidRPr="00A15E88">
        <w:t>FIG. 3 illustrates the passive selective attention mechanism (the Cocktail Party Effect) in which specific cognitive senses fire on inbound content, confidence scoring gates the result into noise, tentative, or confirmed paths, and confirmed artifacts enter structural memory while tentative artifacts remain eligible for re-scoring.</w:t>
      </w:r>
    </w:p>
    <w:p w14:paraId="379834F0" w14:textId="77777777" w:rsidR="00A15E88" w:rsidRPr="00A15E88" w:rsidRDefault="00A15E88" w:rsidP="00A15E88"/>
    <w:p w14:paraId="6533B39A" w14:textId="77777777" w:rsidR="00A15E88" w:rsidRPr="00A15E88" w:rsidRDefault="00A15E88" w:rsidP="00A15E88">
      <w:r w:rsidRPr="00A15E88">
        <w:rPr>
          <w:b/>
          <w:bCs/>
        </w:rPr>
        <w:lastRenderedPageBreak/>
        <w:t>## FIG. 4 - Temporal Truth and Reversible Merge Lineage</w:t>
      </w:r>
    </w:p>
    <w:p w14:paraId="0B7E01AD" w14:textId="14C29C67" w:rsidR="00A15E88" w:rsidRPr="00A15E88" w:rsidRDefault="00A15E88" w:rsidP="00A15E88">
      <w:r>
        <w:rPr>
          <w:noProof/>
        </w:rPr>
        <w:drawing>
          <wp:inline distT="0" distB="0" distL="0" distR="0" wp14:anchorId="08F6E8C9" wp14:editId="0D129ED8">
            <wp:extent cx="5943600" cy="1348740"/>
            <wp:effectExtent l="0" t="0" r="0" b="0"/>
            <wp:docPr id="212540337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3376" name="Picture 4" descr="A diagram of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48740"/>
                    </a:xfrm>
                    <a:prstGeom prst="rect">
                      <a:avLst/>
                    </a:prstGeom>
                  </pic:spPr>
                </pic:pic>
              </a:graphicData>
            </a:graphic>
          </wp:inline>
        </w:drawing>
      </w:r>
    </w:p>
    <w:p w14:paraId="7C12FE72" w14:textId="77777777" w:rsidR="00A15E88" w:rsidRPr="00A15E88" w:rsidRDefault="00A15E88" w:rsidP="00A15E88">
      <w:r w:rsidRPr="00A15E88">
        <w:t>Caption:</w:t>
      </w:r>
    </w:p>
    <w:p w14:paraId="7FB848E1" w14:textId="77777777" w:rsidR="00A15E88" w:rsidRPr="00A15E88" w:rsidRDefault="00A15E88" w:rsidP="00A15E88">
      <w:r w:rsidRPr="00A15E88">
        <w:t xml:space="preserve">FIG. 4 illustrates temporal truth handling in which additive evidence strengthens existing artifact </w:t>
      </w:r>
      <w:proofErr w:type="spellStart"/>
      <w:r w:rsidRPr="00A15E88">
        <w:t>pathway_strength</w:t>
      </w:r>
      <w:proofErr w:type="spellEnd"/>
      <w:r w:rsidRPr="00A15E88">
        <w:t xml:space="preserve">, contradictory evidence preserves prior state under a DEPRECATED_BY edge, and a </w:t>
      </w:r>
      <w:proofErr w:type="spellStart"/>
      <w:r w:rsidRPr="00A15E88">
        <w:t>MergeEvent</w:t>
      </w:r>
      <w:proofErr w:type="spellEnd"/>
      <w:r w:rsidRPr="00A15E88">
        <w:t xml:space="preserve"> audit record enables deterministic rollback.</w:t>
      </w:r>
    </w:p>
    <w:p w14:paraId="5BD0EE7A" w14:textId="77777777" w:rsidR="00A15E88" w:rsidRPr="00A15E88" w:rsidRDefault="00A15E88" w:rsidP="00A15E88"/>
    <w:p w14:paraId="760CB9E9" w14:textId="77777777" w:rsidR="00A15E88" w:rsidRPr="00A15E88" w:rsidRDefault="00A15E88" w:rsidP="00A15E88"/>
    <w:p w14:paraId="6145174E" w14:textId="77777777" w:rsidR="00A15E88" w:rsidRPr="00A15E88" w:rsidRDefault="00A15E88" w:rsidP="00A15E88">
      <w:r w:rsidRPr="00A15E88">
        <w:rPr>
          <w:b/>
          <w:bCs/>
        </w:rPr>
        <w:t>## FIG. 5 - Working Memory Awareness, Smart Deduplication, and Session Handoff</w:t>
      </w:r>
    </w:p>
    <w:p w14:paraId="329BE853" w14:textId="7BF26B3F" w:rsidR="00A15E88" w:rsidRPr="00A15E88" w:rsidRDefault="00A15E88" w:rsidP="00A15E88">
      <w:r>
        <w:rPr>
          <w:noProof/>
        </w:rPr>
        <w:lastRenderedPageBreak/>
        <w:drawing>
          <wp:inline distT="0" distB="0" distL="0" distR="0" wp14:anchorId="1E094E98" wp14:editId="5928CB78">
            <wp:extent cx="4647565" cy="8229600"/>
            <wp:effectExtent l="0" t="0" r="635" b="0"/>
            <wp:docPr id="620102563"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02563" name="Picture 5" descr="A diagram of a software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7565" cy="8229600"/>
                    </a:xfrm>
                    <a:prstGeom prst="rect">
                      <a:avLst/>
                    </a:prstGeom>
                  </pic:spPr>
                </pic:pic>
              </a:graphicData>
            </a:graphic>
          </wp:inline>
        </w:drawing>
      </w:r>
    </w:p>
    <w:p w14:paraId="222C7B97" w14:textId="77777777" w:rsidR="00A15E88" w:rsidRPr="00A15E88" w:rsidRDefault="00A15E88" w:rsidP="00A15E88">
      <w:r w:rsidRPr="00A15E88">
        <w:lastRenderedPageBreak/>
        <w:t>Caption:</w:t>
      </w:r>
    </w:p>
    <w:p w14:paraId="1F8E159E" w14:textId="77777777" w:rsidR="00A15E88" w:rsidRPr="00A15E88" w:rsidRDefault="00A15E88" w:rsidP="00A15E88">
      <w:r w:rsidRPr="00A15E88">
        <w:t>FIG. 5 illustrates working-memory state tracking via Session-to-Artifact [LOADED] edges, token burden estimation, smart deduplication with relevance demotion, refresher reinjection, and Session Handoff Intelligence that seeds a new session with the prior session's top loaded artifacts.</w:t>
      </w:r>
    </w:p>
    <w:p w14:paraId="28E005FF" w14:textId="77777777" w:rsidR="00A15E88" w:rsidRPr="00A15E88" w:rsidRDefault="00A15E88" w:rsidP="00A15E88"/>
    <w:p w14:paraId="498A5D3B" w14:textId="77777777" w:rsidR="00A15E88" w:rsidRPr="00A15E88" w:rsidRDefault="00A15E88" w:rsidP="00A15E88"/>
    <w:p w14:paraId="5C27795F" w14:textId="77777777" w:rsidR="00A15E88" w:rsidRPr="00A15E88" w:rsidRDefault="00A15E88" w:rsidP="00A15E88">
      <w:r w:rsidRPr="00A15E88">
        <w:rPr>
          <w:b/>
          <w:bCs/>
        </w:rPr>
        <w:t>## FIG. 6 - Semantic Quest Routing (Hippocampus Mechanism)</w:t>
      </w:r>
    </w:p>
    <w:p w14:paraId="716822A7" w14:textId="2DA77ED4" w:rsidR="00A15E88" w:rsidRPr="00A15E88" w:rsidRDefault="00A15E88" w:rsidP="00A15E88">
      <w:r>
        <w:rPr>
          <w:noProof/>
        </w:rPr>
        <w:lastRenderedPageBreak/>
        <w:drawing>
          <wp:inline distT="0" distB="0" distL="0" distR="0" wp14:anchorId="0DB95B31" wp14:editId="072CB502">
            <wp:extent cx="5943600" cy="7800340"/>
            <wp:effectExtent l="0" t="0" r="0" b="0"/>
            <wp:docPr id="481626311"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6311" name="Picture 6" descr="A diagram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800340"/>
                    </a:xfrm>
                    <a:prstGeom prst="rect">
                      <a:avLst/>
                    </a:prstGeom>
                  </pic:spPr>
                </pic:pic>
              </a:graphicData>
            </a:graphic>
          </wp:inline>
        </w:drawing>
      </w:r>
    </w:p>
    <w:p w14:paraId="43064526" w14:textId="77777777" w:rsidR="00A15E88" w:rsidRPr="00A15E88" w:rsidRDefault="00A15E88" w:rsidP="00A15E88">
      <w:r w:rsidRPr="00A15E88">
        <w:t>Caption:</w:t>
      </w:r>
    </w:p>
    <w:p w14:paraId="62978C9B" w14:textId="77777777" w:rsidR="00A15E88" w:rsidRPr="00A15E88" w:rsidRDefault="00A15E88" w:rsidP="00A15E88">
      <w:r w:rsidRPr="00A15E88">
        <w:lastRenderedPageBreak/>
        <w:t>FIG. 6 illustrates the multi-signal routing fusion method that dynamically associates a new session thread with an existing quest, escalates to LLM disambiguation on ambiguity, and triggers prediction-error-driven memory reconsolidation using Long-Term Depression (LTD) when an incorrect attachment is detected.</w:t>
      </w:r>
    </w:p>
    <w:p w14:paraId="6AFA1349" w14:textId="77777777" w:rsidR="00A15E88" w:rsidRPr="00A15E88" w:rsidRDefault="00A15E88" w:rsidP="00A15E88"/>
    <w:p w14:paraId="75D9E485" w14:textId="77777777" w:rsidR="00A15E88" w:rsidRPr="00A15E88" w:rsidRDefault="00A15E88" w:rsidP="00A15E88"/>
    <w:p w14:paraId="4320AC57" w14:textId="77777777" w:rsidR="00A15E88" w:rsidRPr="00A15E88" w:rsidRDefault="00A15E88" w:rsidP="00A15E88">
      <w:r w:rsidRPr="00A15E88">
        <w:rPr>
          <w:b/>
          <w:bCs/>
        </w:rPr>
        <w:t>## FIG. 7 - Synaptic Pruning, Hebbian Learning, and Long-Term Potentiation</w:t>
      </w:r>
    </w:p>
    <w:p w14:paraId="57806058" w14:textId="5529AA27" w:rsidR="00A15E88" w:rsidRPr="00A15E88" w:rsidRDefault="00A15E88" w:rsidP="00A15E88">
      <w:r>
        <w:rPr>
          <w:noProof/>
        </w:rPr>
        <w:lastRenderedPageBreak/>
        <w:drawing>
          <wp:inline distT="0" distB="0" distL="0" distR="0" wp14:anchorId="3A717B20" wp14:editId="02E786D8">
            <wp:extent cx="5943600" cy="7213600"/>
            <wp:effectExtent l="0" t="0" r="0" b="0"/>
            <wp:docPr id="910852439" name="Picture 7"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52439" name="Picture 7" descr="A screen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213600"/>
                    </a:xfrm>
                    <a:prstGeom prst="rect">
                      <a:avLst/>
                    </a:prstGeom>
                  </pic:spPr>
                </pic:pic>
              </a:graphicData>
            </a:graphic>
          </wp:inline>
        </w:drawing>
      </w:r>
    </w:p>
    <w:p w14:paraId="72FCE888" w14:textId="77777777" w:rsidR="00A15E88" w:rsidRPr="00A15E88" w:rsidRDefault="00A15E88" w:rsidP="00A15E88">
      <w:r w:rsidRPr="00A15E88">
        <w:t>Caption:</w:t>
      </w:r>
    </w:p>
    <w:p w14:paraId="6B719E11" w14:textId="77777777" w:rsidR="00A15E88" w:rsidRPr="00A15E88" w:rsidRDefault="00A15E88" w:rsidP="00A15E88">
      <w:r w:rsidRPr="00A15E88">
        <w:t xml:space="preserve">FIG. 7 illustrates the use-based memory strengthening and time-decay pruning model, in which </w:t>
      </w:r>
      <w:proofErr w:type="spellStart"/>
      <w:r w:rsidRPr="00A15E88">
        <w:t>pathway_strength</w:t>
      </w:r>
      <w:proofErr w:type="spellEnd"/>
      <w:r w:rsidRPr="00A15E88">
        <w:t xml:space="preserve"> increases on access and decays exponentially during inactivity, </w:t>
      </w:r>
      <w:r w:rsidRPr="00A15E88">
        <w:lastRenderedPageBreak/>
        <w:t>archived nodes are resurrected by embedding similarity above a threshold, and implicit CO_OCCURS_WITH edges are promoted to named semantic edges via Hebbian Long-Term Potentiation.</w:t>
      </w:r>
    </w:p>
    <w:p w14:paraId="372051A4" w14:textId="77777777" w:rsidR="00A15E88" w:rsidRPr="00A15E88" w:rsidRDefault="00A15E88" w:rsidP="00A15E88"/>
    <w:p w14:paraId="0340AF1D" w14:textId="77777777" w:rsidR="00BF6104" w:rsidRDefault="00BF6104"/>
    <w:sectPr w:rsidR="00BF6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88"/>
    <w:rsid w:val="007470C1"/>
    <w:rsid w:val="00A15E88"/>
    <w:rsid w:val="00B849D6"/>
    <w:rsid w:val="00BF6104"/>
    <w:rsid w:val="00F40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A38C3"/>
  <w15:chartTrackingRefBased/>
  <w15:docId w15:val="{2213309A-7B3A-A046-A4CA-220CFAF1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88"/>
    <w:rPr>
      <w:rFonts w:eastAsiaTheme="majorEastAsia" w:cstheme="majorBidi"/>
      <w:color w:val="272727" w:themeColor="text1" w:themeTint="D8"/>
    </w:rPr>
  </w:style>
  <w:style w:type="paragraph" w:styleId="Title">
    <w:name w:val="Title"/>
    <w:basedOn w:val="Normal"/>
    <w:next w:val="Normal"/>
    <w:link w:val="TitleChar"/>
    <w:uiPriority w:val="10"/>
    <w:qFormat/>
    <w:rsid w:val="00A15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88"/>
    <w:pPr>
      <w:spacing w:before="160"/>
      <w:jc w:val="center"/>
    </w:pPr>
    <w:rPr>
      <w:i/>
      <w:iCs/>
      <w:color w:val="404040" w:themeColor="text1" w:themeTint="BF"/>
    </w:rPr>
  </w:style>
  <w:style w:type="character" w:customStyle="1" w:styleId="QuoteChar">
    <w:name w:val="Quote Char"/>
    <w:basedOn w:val="DefaultParagraphFont"/>
    <w:link w:val="Quote"/>
    <w:uiPriority w:val="29"/>
    <w:rsid w:val="00A15E88"/>
    <w:rPr>
      <w:i/>
      <w:iCs/>
      <w:color w:val="404040" w:themeColor="text1" w:themeTint="BF"/>
    </w:rPr>
  </w:style>
  <w:style w:type="paragraph" w:styleId="ListParagraph">
    <w:name w:val="List Paragraph"/>
    <w:basedOn w:val="Normal"/>
    <w:uiPriority w:val="34"/>
    <w:qFormat/>
    <w:rsid w:val="00A15E88"/>
    <w:pPr>
      <w:ind w:left="720"/>
      <w:contextualSpacing/>
    </w:pPr>
  </w:style>
  <w:style w:type="character" w:styleId="IntenseEmphasis">
    <w:name w:val="Intense Emphasis"/>
    <w:basedOn w:val="DefaultParagraphFont"/>
    <w:uiPriority w:val="21"/>
    <w:qFormat/>
    <w:rsid w:val="00A15E88"/>
    <w:rPr>
      <w:i/>
      <w:iCs/>
      <w:color w:val="0F4761" w:themeColor="accent1" w:themeShade="BF"/>
    </w:rPr>
  </w:style>
  <w:style w:type="paragraph" w:styleId="IntenseQuote">
    <w:name w:val="Intense Quote"/>
    <w:basedOn w:val="Normal"/>
    <w:next w:val="Normal"/>
    <w:link w:val="IntenseQuoteChar"/>
    <w:uiPriority w:val="30"/>
    <w:qFormat/>
    <w:rsid w:val="00A15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E88"/>
    <w:rPr>
      <w:i/>
      <w:iCs/>
      <w:color w:val="0F4761" w:themeColor="accent1" w:themeShade="BF"/>
    </w:rPr>
  </w:style>
  <w:style w:type="character" w:styleId="IntenseReference">
    <w:name w:val="Intense Reference"/>
    <w:basedOn w:val="DefaultParagraphFont"/>
    <w:uiPriority w:val="32"/>
    <w:qFormat/>
    <w:rsid w:val="00A15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Shelton</dc:creator>
  <cp:keywords/>
  <dc:description/>
  <cp:lastModifiedBy>Don Shelton</cp:lastModifiedBy>
  <cp:revision>1</cp:revision>
  <dcterms:created xsi:type="dcterms:W3CDTF">2026-03-25T04:36:00Z</dcterms:created>
  <dcterms:modified xsi:type="dcterms:W3CDTF">2026-03-25T04:41:00Z</dcterms:modified>
</cp:coreProperties>
</file>