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MEDLYNK AFRICA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0D9488"/>
          <w:sz w:val="16"/>
          <w:szCs w:val="16"/>
        </w:rPr>
        <w:t xml:space="preserve">SARL • Connecting Healthcare Access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FULL TECHNICAL &amp; INVESTMENT PLAN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14"/>
          <w:szCs w:val="14"/>
        </w:rPr>
        <w:t xml:space="preserve">3-Year Roadmap | June 2026 — June 2029 | Version 4.0 | July 2026</w:t>
      </w:r>
    </w:p>
    <w:p>
      <w:pPr>
        <w:pStyle w:val="Heading1"/>
      </w:pPr>
      <w:r>
        <w:t xml:space="preserve">1. Executive Summary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7"/>
          <w:szCs w:val="17"/>
        </w:rPr>
        <w:t xml:space="preserve">Medlynk Africa is a bilingual multi-tenant healthcare access platform. Patients find medicines and facilities in real time. Pharmacies, clinics and hospitals manage stock and visibility on one shared platform.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7"/>
          <w:szCs w:val="17"/>
        </w:rPr>
        <w:t xml:space="preserve">This plan reflects verified progress as of July 2026.</w:t>
      </w:r>
    </w:p>
    <w:p>
      <w:pPr>
        <w:pStyle w:val="Heading2"/>
      </w:pPr>
      <w:r>
        <w:t xml:space="preserve">Already Built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Live site medlynk.me (bilingual FR/EN)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21 working API endpoints (medicines, pharmacies, users, facilities, home)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Phone OTP + JWT authentication for Cameroon +237 numbers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GPS distance-sorted search + facility directory (15 specialisations)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$1,000 AWS Activate credits secured (valid to June 2028)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Africa's Talking SMS sandbox live for MTN &amp; Orange</w:t>
      </w:r>
    </w:p>
    <w:p>
      <w:pPr>
        <w:pStyle w:val="Heading2"/>
      </w:pPr>
      <w:r>
        <w:t xml:space="preserve">Financial Snapshot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3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Paying facilities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10–20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50–100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100–150+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Monthly fee (FCFA)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20–25k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20–25k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20–25k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Monthly revenue (end)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0–100k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700k–1.2M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2–2.5M+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Cities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Douala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Douala + Yaoundé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+ Bafoussam</w:t>
            </w:r>
          </w:p>
        </w:tc>
      </w:tr>
    </w:tbl>
    <w:p>
      <w:pPr>
        <w:pStyle w:val="Heading1"/>
      </w:pPr>
      <w:r>
        <w:t xml:space="preserve">2. The Problem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Patients visit 3–5 pharmacies per prescription with no stock visibility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Up to 30% of medicines in sub-Saharan Africa are counterfeit or substandard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No real-time medicine availability system exists in Cameroon or CEMAC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Facility information is fragmented; lab results remain paper-based</w:t>
      </w:r>
    </w:p>
    <w:p>
      <w:pPr>
        <w:pStyle w:val="Heading1"/>
      </w:pPr>
      <w:r>
        <w:t xml:space="preserve">3. Solution &amp; Architecture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7"/>
          <w:szCs w:val="17"/>
        </w:rPr>
        <w:t xml:space="preserve">One platform. Many roles. Instant access. Access = Identity + Tenant + Role + Permissions. Frontend builds navigation from the API permission response.</w:t>
      </w:r>
    </w:p>
    <w:p>
      <w:pPr>
        <w:pStyle w:val="Heading2"/>
      </w:pPr>
      <w:r>
        <w:t xml:space="preserve">Account Types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Patient • Pharmacy • Clinic / Hospital • Laboratory • Insurance • Government</w:t>
      </w:r>
    </w:p>
    <w:p>
      <w:pPr>
        <w:pStyle w:val="Heading2"/>
      </w:pPr>
      <w:r>
        <w:t xml:space="preserve">Technology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Mobile: React Native (Expo) | Web: React + Tailwind | API: Node.js + Express (21 endpoints live)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DB: SQL Server → AWS RDS | Auth: Phone OTP + JWT | SMS: Africa's Talking | Cloud: AWS (credits)</w:t>
      </w:r>
    </w:p>
    <w:p>
      <w:pPr>
        <w:pStyle w:val="Heading1"/>
      </w:pPr>
      <w:r>
        <w:t xml:space="preserve">4. Revenue Model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7"/>
          <w:szCs w:val="17"/>
        </w:rPr>
        <w:t xml:space="preserve">2-year facility partnership contracts: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Months 1–6: completely free (onboarding + visibility)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Months 7–24: 20,000–25,000 FCFA per month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Same rate for every facility. Patients never pay. Ranking is never for sale.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Payment via MTN Mobile Money or Orange Money</w:t>
      </w:r>
    </w:p>
    <w:p>
      <w:pPr>
        <w:pStyle w:val="Heading1"/>
      </w:pPr>
      <w:r>
        <w:t xml:space="preserve">5. 3-Year Roadmap</w:t>
      </w:r>
    </w:p>
    <w:p>
      <w:pPr>
        <w:pStyle w:val="Heading2"/>
      </w:pPr>
      <w:r>
        <w:t xml:space="preserve">Year 1 — Build &amp; Pilot (Jun 2026 – Jun 2027)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MVP: medicine search + facility directory + pharmacy &amp; clinic dashboards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Onboard 10–20 facilities in Douala • Closed beta → public launch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First paying facilities from early 2027</w:t>
      </w:r>
    </w:p>
    <w:p>
      <w:pPr>
        <w:pStyle w:val="Heading2"/>
      </w:pPr>
      <w:r>
        <w:t xml:space="preserve">Year 2 — Scale (Jul 2027 – Jun 2028)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50–100 facilities • Yaoundé launch • First 3 hires • SARL conversion</w:t>
      </w:r>
    </w:p>
    <w:p>
      <w:pPr>
        <w:pStyle w:val="Heading2"/>
      </w:pPr>
      <w:r>
        <w:t xml:space="preserve">Year 3 — Expansion (Jul 2028 – Jun 2029)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100–150+ facilities • Bafoussam • Delivery network • Lab results + prescription vault</w:t>
      </w:r>
    </w:p>
    <w:p>
      <w:pPr>
        <w:pStyle w:val="Heading1"/>
      </w:pPr>
      <w:r>
        <w:t xml:space="preserve">6. Budget (FCFA approx)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453"/>
        <w:gridCol w:w="2453"/>
        <w:gridCol w:w="2454"/>
      </w:tblGrid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1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2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766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 3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Cloud (AWS)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0 (credits)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~1.4M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~3.8M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SMS &amp; Notifications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~180k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~480k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~960k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Team / Salaries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0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~3.4M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~6M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Marketing &amp; Onboarding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~1.1M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~1.2M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~2M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Legal, Office, Tools, Buffer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~700k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~3M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4"/>
                <w:szCs w:val="14"/>
              </w:rPr>
              <w:t xml:space="preserve">~5M</w:t>
            </w:r>
          </w:p>
        </w:tc>
      </w:tr>
      <w:tr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TOTAL (approx)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~2.0–2.5M</w:t>
            </w:r>
          </w:p>
        </w:tc>
        <w:tc>
          <w:tcPr>
            <w:tcW w:type="dxa" w:w="2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~9–10M</w:t>
            </w:r>
          </w:p>
        </w:tc>
        <w:tc>
          <w:tcPr>
            <w:tcW w:type="dxa" w:w="24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~17–18M</w:t>
            </w:r>
          </w:p>
        </w:tc>
      </w:tr>
    </w:tbl>
    <w:p>
      <w:pPr>
        <w:pStyle w:val="Heading1"/>
      </w:pPr>
      <w:r>
        <w:t xml:space="preserve">7. Founder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17"/>
          <w:szCs w:val="17"/>
        </w:rPr>
        <w:t xml:space="preserve">Ashu Betrand Njoh — IT professional, community pastor (since 2019), bilingual FR/EN/Pidgin. GPA 3.97 Ensign College (BYU Pathway). Certs: IT Support, IT Professional, Project Management. Preparing CompTIA Security+ and AWS Solutions Architect.</w:t>
      </w:r>
    </w:p>
    <w:p>
      <w:pPr>
        <w:pStyle w:val="Heading1"/>
      </w:pPr>
      <w:r>
        <w:t xml:space="preserve">8. Risks &amp; Mitigation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Adoption → 6 months free + WhatsApp fallback + founder-led onboarding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Data quality → Admin monitoring + verified badges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Competition → Multi-tenant depth + community trust + speed of launch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Solo founder → Full documentation + first hires planned Month 13</w:t>
      </w:r>
    </w:p>
    <w:p>
      <w:pPr>
        <w:pStyle w:val="Heading1"/>
      </w:pPr>
      <w:r>
        <w:t xml:space="preserve">9. Next 60 Days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Lock multi-tenant IAM (Identity + Tenant + Authorization)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Finish Patient App + Pharmacy/Clinic dashboards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Onboard first 8–12 facilities in Douala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Deploy production on AWS with secured credits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Closed beta → Public launch in Douala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F766E"/>
          <w:sz w:val="13"/>
          <w:szCs w:val="13"/>
        </w:rPr>
        <w:t xml:space="preserve">Medlynk Africa — Building the Healthcare Infrastructure Central Africa Deserves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12"/>
          <w:szCs w:val="12"/>
        </w:rPr>
        <w:t xml:space="preserve">medlynk.me • founder@medlynk.me • Douala, Cameroon</w:t>
      </w:r>
    </w:p>
    <w:sectPr>
      <w:headerReference w:type="default" r:id="rId7"/>
      <w:footerReference w:type="default" r:id="rId8"/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2"/>
        <w:szCs w:val="12"/>
      </w:rPr>
      <w:t xml:space="preserve">medlynk.me • founder@medlynk.me • Page </w:t>
    </w:r>
    <w:r>
      <w:rPr>
        <w:color w:val="6B7280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3"/>
      </w:pBdr>
    </w:pPr>
    <w:r>
      <w:rPr>
        <w:rFonts w:ascii="Arial" w:cs="Arial" w:eastAsia="Arial" w:hAnsi="Arial"/>
        <w:color w:val="6B7280"/>
        <w:sz w:val="12"/>
        <w:szCs w:val="12"/>
      </w:rPr>
      <w:t xml:space="preserve">Medlynk Africa SARL | Technical &amp; Investment Plan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0F766E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50" w:before="140"/>
      <w:outlineLvl w:val="1"/>
    </w:pPr>
    <w:rPr>
      <w:rFonts w:ascii="Arial" w:cs="Arial" w:eastAsia="Arial" w:hAnsi="Arial"/>
      <w:b/>
      <w:bCs/>
      <w:color w:val="134E4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2026-07-25T00:36:29.146Z</dcterms:created>
  <dcterms:modified xsi:type="dcterms:W3CDTF">2026-07-25T00:36:29.146Z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