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A930" w14:textId="77777777" w:rsidR="004B18F1" w:rsidRDefault="004B18F1" w:rsidP="004B18F1">
      <w:pPr>
        <w:jc w:val="center"/>
        <w:rPr>
          <w:b/>
          <w:bCs/>
          <w:sz w:val="48"/>
          <w:szCs w:val="48"/>
        </w:rPr>
      </w:pPr>
      <w:r w:rsidRPr="004B18F1">
        <w:rPr>
          <w:b/>
          <w:bCs/>
          <w:sz w:val="48"/>
          <w:szCs w:val="48"/>
        </w:rPr>
        <w:t>Mitigating Frequency Instability in Hybrid Renewable Energy Systems (HRES) Connected to Weak Grids: A Case Study of the Jhampir Wind Corridor</w:t>
      </w:r>
    </w:p>
    <w:p w14:paraId="60C6AB6E" w14:textId="5734DD25" w:rsidR="001D346C" w:rsidRDefault="001D346C" w:rsidP="004B18F1">
      <w:pPr>
        <w:jc w:val="center"/>
        <w:rPr>
          <w:b/>
          <w:bCs/>
          <w:sz w:val="22"/>
          <w:szCs w:val="22"/>
          <w:vertAlign w:val="superscript"/>
        </w:rPr>
      </w:pPr>
      <w:r w:rsidRPr="001D346C">
        <w:rPr>
          <w:b/>
          <w:bCs/>
          <w:sz w:val="22"/>
          <w:szCs w:val="22"/>
        </w:rPr>
        <w:t>M.Huzaifa</w:t>
      </w:r>
      <w:r w:rsidRPr="001D346C">
        <w:rPr>
          <w:b/>
          <w:bCs/>
          <w:sz w:val="22"/>
          <w:szCs w:val="22"/>
          <w:vertAlign w:val="superscript"/>
        </w:rPr>
        <w:t>1</w:t>
      </w:r>
    </w:p>
    <w:p w14:paraId="5D2BB036" w14:textId="0459B6F2" w:rsidR="001D346C" w:rsidRPr="001D346C" w:rsidRDefault="001D346C" w:rsidP="001D346C">
      <w:pPr>
        <w:jc w:val="center"/>
        <w:rPr>
          <w:b/>
          <w:bCs/>
          <w:i/>
          <w:iCs/>
          <w:sz w:val="20"/>
          <w:szCs w:val="20"/>
        </w:rPr>
      </w:pPr>
      <w:r w:rsidRPr="001D346C">
        <w:rPr>
          <w:b/>
          <w:bCs/>
          <w:i/>
          <w:iCs/>
          <w:sz w:val="20"/>
          <w:szCs w:val="20"/>
        </w:rPr>
        <w:t>Department of Automation &amp; Control Engineering, QUEST Nawabshah</w:t>
      </w:r>
    </w:p>
    <w:p w14:paraId="75779775" w14:textId="44048C11" w:rsidR="001D346C" w:rsidRDefault="001D346C" w:rsidP="001D346C">
      <w:pPr>
        <w:jc w:val="center"/>
        <w:rPr>
          <w:b/>
          <w:bCs/>
          <w:i/>
          <w:iCs/>
          <w:sz w:val="20"/>
          <w:szCs w:val="20"/>
        </w:rPr>
      </w:pPr>
      <w:r w:rsidRPr="001D346C">
        <w:rPr>
          <w:b/>
          <w:bCs/>
          <w:i/>
          <w:iCs/>
          <w:sz w:val="20"/>
          <w:szCs w:val="20"/>
        </w:rPr>
        <w:t>Sakrand Road Nawabshah</w:t>
      </w:r>
      <w:r w:rsidR="003F2A44">
        <w:rPr>
          <w:b/>
          <w:bCs/>
          <w:i/>
          <w:iCs/>
          <w:sz w:val="20"/>
          <w:szCs w:val="20"/>
        </w:rPr>
        <w:t xml:space="preserve"> Sindh</w:t>
      </w:r>
      <w:r w:rsidRPr="001D346C">
        <w:rPr>
          <w:b/>
          <w:bCs/>
          <w:i/>
          <w:iCs/>
          <w:sz w:val="20"/>
          <w:szCs w:val="20"/>
        </w:rPr>
        <w:t>, Pakistan</w:t>
      </w:r>
    </w:p>
    <w:p w14:paraId="4354F2D2" w14:textId="3C223C27" w:rsidR="00A631D7" w:rsidRPr="004B18F1" w:rsidRDefault="001D346C" w:rsidP="004B18F1">
      <w:pPr>
        <w:jc w:val="center"/>
        <w:rPr>
          <w:rFonts w:ascii="Courier New" w:hAnsi="Courier New" w:cs="Courier New"/>
          <w:b/>
          <w:bCs/>
          <w:sz w:val="18"/>
          <w:szCs w:val="18"/>
        </w:rPr>
        <w:sectPr w:rsidR="00A631D7" w:rsidRPr="004B18F1" w:rsidSect="00A631D7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hyperlink r:id="rId6" w:history="1">
        <w:r w:rsidRPr="001F11AE">
          <w:rPr>
            <w:rStyle w:val="Hyperlink"/>
            <w:rFonts w:ascii="Courier New" w:hAnsi="Courier New" w:cs="Courier New"/>
            <w:b/>
            <w:bCs/>
            <w:color w:val="auto"/>
            <w:sz w:val="18"/>
            <w:szCs w:val="18"/>
            <w:u w:val="none"/>
          </w:rPr>
          <w:t>22ace06@quest.edu.pk</w:t>
        </w:r>
      </w:hyperlink>
    </w:p>
    <w:p w14:paraId="51E4649D" w14:textId="77777777" w:rsidR="00135DD9" w:rsidRDefault="00135DD9" w:rsidP="00350C7A">
      <w:pPr>
        <w:rPr>
          <w:rFonts w:asciiTheme="majorBidi" w:hAnsiTheme="majorBidi" w:cstheme="majorBidi"/>
          <w:b/>
          <w:bCs/>
          <w:i/>
          <w:iCs/>
          <w:sz w:val="18"/>
          <w:szCs w:val="18"/>
        </w:rPr>
        <w:sectPr w:rsidR="00135DD9" w:rsidSect="00A631D7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14:paraId="3284CA75" w14:textId="77777777" w:rsidR="007E056D" w:rsidRDefault="00350C7A" w:rsidP="00350C7A">
      <w:pPr>
        <w:rPr>
          <w:rFonts w:asciiTheme="majorBidi" w:hAnsiTheme="majorBidi" w:cstheme="majorBidi"/>
          <w:b/>
          <w:bCs/>
          <w:i/>
          <w:iCs/>
          <w:sz w:val="18"/>
          <w:szCs w:val="18"/>
        </w:rPr>
      </w:pPr>
      <w:r w:rsidRPr="007E056D">
        <w:rPr>
          <w:rFonts w:asciiTheme="majorBidi" w:hAnsiTheme="majorBidi" w:cstheme="majorBidi"/>
          <w:b/>
          <w:bCs/>
          <w:i/>
          <w:iCs/>
          <w:sz w:val="18"/>
          <w:szCs w:val="18"/>
        </w:rPr>
        <w:t>Abstract—</w:t>
      </w:r>
    </w:p>
    <w:p w14:paraId="0DDF9B0C" w14:textId="77777777" w:rsidR="004B18F1" w:rsidRPr="004B18F1" w:rsidRDefault="004B18F1" w:rsidP="004B18F1">
      <w:pPr>
        <w:rPr>
          <w:rFonts w:asciiTheme="majorBidi" w:hAnsiTheme="majorBidi" w:cstheme="majorBidi"/>
          <w:i/>
          <w:iCs/>
          <w:sz w:val="18"/>
          <w:szCs w:val="18"/>
        </w:rPr>
      </w:pPr>
      <w:r w:rsidRPr="004B18F1">
        <w:rPr>
          <w:rFonts w:asciiTheme="majorBidi" w:hAnsiTheme="majorBidi" w:cstheme="majorBidi"/>
          <w:i/>
          <w:iCs/>
          <w:sz w:val="18"/>
          <w:szCs w:val="18"/>
        </w:rPr>
        <w:t>This paper investigates the stability challenges associated with integrating large-scale Hybrid Renewable Energy Systems (HRES) into weak grids, with a specific focus on the Jhampir Wind Corridor in Pakistan. As the penetration of inverter-based resources (IBRs) like wind and solar increases, the effective system inertia decreases, leading to severe frequency excursions during disturbances. We model a 500 MW HRES (Wind + Solar) and analyze the impact of simultaneous generation loss on the Rate of Change of Frequency (RoCoF). Furthermore, we propose a battery sizing methodology for Synthetic Inertia support to maintain grid stability.</w:t>
      </w:r>
    </w:p>
    <w:p w14:paraId="41F4B852" w14:textId="77777777" w:rsidR="00135DD9" w:rsidRDefault="00135DD9" w:rsidP="007E056D">
      <w:pPr>
        <w:rPr>
          <w:rFonts w:asciiTheme="majorBidi" w:hAnsiTheme="majorBidi" w:cstheme="majorBidi"/>
          <w:b/>
          <w:bCs/>
          <w:sz w:val="20"/>
          <w:szCs w:val="20"/>
        </w:rPr>
        <w:sectPr w:rsidR="00135DD9" w:rsidSect="00135DD9">
          <w:type w:val="continuous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E350702" w14:textId="13DAB426" w:rsidR="007E056D" w:rsidRPr="007E056D" w:rsidRDefault="007E056D" w:rsidP="007E056D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I. </w:t>
      </w:r>
      <w:r w:rsidRPr="007E056D">
        <w:rPr>
          <w:rFonts w:asciiTheme="majorBidi" w:hAnsiTheme="majorBidi" w:cstheme="majorBidi"/>
          <w:b/>
          <w:bCs/>
          <w:sz w:val="20"/>
          <w:szCs w:val="20"/>
        </w:rPr>
        <w:t xml:space="preserve">INTRODUCTION </w:t>
      </w:r>
    </w:p>
    <w:p w14:paraId="07C0A215" w14:textId="77777777" w:rsidR="004B18F1" w:rsidRPr="004B18F1" w:rsidRDefault="004B18F1" w:rsidP="004B18F1">
      <w:p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 xml:space="preserve">The global shift towards renewable energy has introduced significant technical challenges for power systems. In Pakistan, the </w:t>
      </w:r>
      <w:r w:rsidRPr="004B18F1">
        <w:rPr>
          <w:rFonts w:asciiTheme="majorBidi" w:hAnsiTheme="majorBidi" w:cstheme="majorBidi"/>
          <w:b/>
          <w:bCs/>
          <w:sz w:val="20"/>
          <w:szCs w:val="20"/>
        </w:rPr>
        <w:t>Jhampir and Gharo Wind Corridors</w:t>
      </w:r>
      <w:r w:rsidRPr="004B18F1">
        <w:rPr>
          <w:rFonts w:asciiTheme="majorBidi" w:hAnsiTheme="majorBidi" w:cstheme="majorBidi"/>
          <w:sz w:val="20"/>
          <w:szCs w:val="20"/>
        </w:rPr>
        <w:t xml:space="preserve"> are critical hubs for wind generation [1]. However, these areas are often remote, characterized by "weak grid" connections with low Short Circuit Ratios (SCR) [2].</w:t>
      </w:r>
    </w:p>
    <w:p w14:paraId="5FD24FCC" w14:textId="0C4EA839" w:rsidR="004B18F1" w:rsidRPr="004B18F1" w:rsidRDefault="004B18F1" w:rsidP="004B18F1">
      <w:p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 xml:space="preserve">The primary risk explored in this paper is the </w:t>
      </w:r>
      <w:r w:rsidRPr="004B18F1">
        <w:rPr>
          <w:rFonts w:asciiTheme="majorBidi" w:hAnsiTheme="majorBidi" w:cstheme="majorBidi"/>
          <w:b/>
          <w:bCs/>
          <w:sz w:val="20"/>
          <w:szCs w:val="20"/>
        </w:rPr>
        <w:t>Loss of Inertia</w:t>
      </w:r>
      <w:r w:rsidRPr="004B18F1">
        <w:rPr>
          <w:rFonts w:asciiTheme="majorBidi" w:hAnsiTheme="majorBidi" w:cstheme="majorBidi"/>
          <w:sz w:val="20"/>
          <w:szCs w:val="20"/>
        </w:rPr>
        <w:t xml:space="preserve">. Traditional synchronous generators provide physical inertia </w:t>
      </w:r>
      <m:oMath>
        <m:r>
          <w:rPr>
            <w:rFonts w:ascii="Cambria Math" w:hAnsi="Cambria Math" w:cstheme="majorBidi"/>
            <w:sz w:val="20"/>
            <w:szCs w:val="20"/>
          </w:rPr>
          <m:t>(H</m:t>
        </m:r>
      </m:oMath>
      <w:r w:rsidRPr="004B18F1">
        <w:rPr>
          <w:rFonts w:asciiTheme="majorBidi" w:hAnsiTheme="majorBidi" w:cstheme="majorBidi"/>
          <w:sz w:val="20"/>
          <w:szCs w:val="20"/>
        </w:rPr>
        <w:t>) that resists frequency changes. Renewable sources, being inverter-based, decouple the generation from the grid frequency, leading to faster and deeper frequency drops (Nadir) during faults [3].</w:t>
      </w:r>
    </w:p>
    <w:p w14:paraId="36D02A4E" w14:textId="29D5A4FD" w:rsidR="00F971E1" w:rsidRDefault="007E056D" w:rsidP="00F971E1">
      <w:pPr>
        <w:rPr>
          <w:rFonts w:asciiTheme="majorBidi" w:hAnsiTheme="majorBidi" w:cstheme="majorBidi"/>
          <w:b/>
          <w:bCs/>
          <w:sz w:val="20"/>
          <w:szCs w:val="20"/>
        </w:rPr>
      </w:pPr>
      <w:r w:rsidRPr="007E056D">
        <w:rPr>
          <w:rFonts w:asciiTheme="majorBidi" w:hAnsiTheme="majorBidi" w:cstheme="majorBidi"/>
          <w:b/>
          <w:bCs/>
          <w:sz w:val="20"/>
          <w:szCs w:val="20"/>
        </w:rPr>
        <w:t>II.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4B18F1">
        <w:rPr>
          <w:rFonts w:asciiTheme="majorBidi" w:hAnsiTheme="majorBidi" w:cstheme="majorBidi"/>
          <w:b/>
          <w:bCs/>
          <w:sz w:val="20"/>
          <w:szCs w:val="20"/>
        </w:rPr>
        <w:t xml:space="preserve">SYSTEM MODELING &amp; </w:t>
      </w:r>
      <w:r w:rsidR="0007060A">
        <w:rPr>
          <w:rFonts w:asciiTheme="majorBidi" w:hAnsiTheme="majorBidi" w:cstheme="majorBidi"/>
          <w:b/>
          <w:bCs/>
          <w:sz w:val="20"/>
          <w:szCs w:val="20"/>
        </w:rPr>
        <w:t>METHODOLOGY</w:t>
      </w:r>
    </w:p>
    <w:p w14:paraId="0A5B9EDB" w14:textId="77777777" w:rsidR="004B18F1" w:rsidRPr="004B18F1" w:rsidRDefault="004B18F1" w:rsidP="004B18F1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B18F1">
        <w:rPr>
          <w:rFonts w:asciiTheme="majorBidi" w:hAnsiTheme="majorBidi" w:cstheme="majorBidi"/>
          <w:b/>
          <w:bCs/>
          <w:sz w:val="20"/>
          <w:szCs w:val="20"/>
        </w:rPr>
        <w:t>2.1 Hybrid Plant Configuration</w:t>
      </w:r>
    </w:p>
    <w:p w14:paraId="2F10D07F" w14:textId="331B5295" w:rsidR="004B18F1" w:rsidRPr="004B18F1" w:rsidRDefault="004B18F1" w:rsidP="004B18F1">
      <w:p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>We consider a hypothetical 500 MW HRES plant connected to the NTDC network:</w:t>
      </w:r>
    </w:p>
    <w:p w14:paraId="5FD96769" w14:textId="77777777" w:rsidR="004B18F1" w:rsidRPr="004B18F1" w:rsidRDefault="004B18F1" w:rsidP="004B18F1">
      <w:pPr>
        <w:numPr>
          <w:ilvl w:val="0"/>
          <w:numId w:val="16"/>
        </w:num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>Wind Farm: 300 MW (Doubly-Fed Induction Generators - DFIG).</w:t>
      </w:r>
    </w:p>
    <w:p w14:paraId="32611EA8" w14:textId="77777777" w:rsidR="004B18F1" w:rsidRPr="004B18F1" w:rsidRDefault="004B18F1" w:rsidP="004B18F1">
      <w:pPr>
        <w:numPr>
          <w:ilvl w:val="0"/>
          <w:numId w:val="16"/>
        </w:num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>Solar PV: 200 MW (Grid-Following Inverters).</w:t>
      </w:r>
    </w:p>
    <w:p w14:paraId="52E1E201" w14:textId="77777777" w:rsidR="004B18F1" w:rsidRPr="004B18F1" w:rsidRDefault="004B18F1" w:rsidP="004B18F1">
      <w:pPr>
        <w:numPr>
          <w:ilvl w:val="0"/>
          <w:numId w:val="16"/>
        </w:num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>Grid Connection: 132 kV double-circuit line.</w:t>
      </w:r>
    </w:p>
    <w:p w14:paraId="47F3D3FE" w14:textId="77777777" w:rsidR="004B18F1" w:rsidRPr="004B18F1" w:rsidRDefault="004B18F1" w:rsidP="004B18F1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B18F1">
        <w:rPr>
          <w:rFonts w:asciiTheme="majorBidi" w:hAnsiTheme="majorBidi" w:cstheme="majorBidi"/>
          <w:b/>
          <w:bCs/>
          <w:sz w:val="20"/>
          <w:szCs w:val="20"/>
        </w:rPr>
        <w:t>2.2 The Disturbance Scenario</w:t>
      </w:r>
    </w:p>
    <w:p w14:paraId="70189D53" w14:textId="36B85AE4" w:rsidR="004B18F1" w:rsidRPr="004B18F1" w:rsidRDefault="004B18F1" w:rsidP="004B18F1">
      <w:p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 xml:space="preserve">To stress-test the system, we simulate a "Worst-Case Scenario" at peak generation </w:t>
      </w:r>
      <m:oMath>
        <m:r>
          <w:rPr>
            <w:rFonts w:ascii="Cambria Math" w:hAnsi="Cambria Math" w:cstheme="majorBidi"/>
            <w:sz w:val="20"/>
            <w:szCs w:val="20"/>
          </w:rPr>
          <m:t>(t=0</m:t>
        </m:r>
      </m:oMath>
      <w:r w:rsidRPr="004B18F1">
        <w:rPr>
          <w:rFonts w:asciiTheme="majorBidi" w:hAnsiTheme="majorBidi" w:cstheme="majorBidi"/>
          <w:sz w:val="20"/>
          <w:szCs w:val="20"/>
        </w:rPr>
        <w:t>):</w:t>
      </w:r>
    </w:p>
    <w:p w14:paraId="7B586220" w14:textId="77777777" w:rsidR="004B18F1" w:rsidRPr="004B18F1" w:rsidRDefault="004B18F1" w:rsidP="004B18F1">
      <w:pPr>
        <w:numPr>
          <w:ilvl w:val="0"/>
          <w:numId w:val="17"/>
        </w:num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>Cloud Cover: Rapid solar ramp-down (loss of 150 MW in 60s).</w:t>
      </w:r>
    </w:p>
    <w:p w14:paraId="02AD1700" w14:textId="21314E12" w:rsidR="004B18F1" w:rsidRPr="004B18F1" w:rsidRDefault="004B18F1" w:rsidP="004B18F1">
      <w:pPr>
        <w:numPr>
          <w:ilvl w:val="0"/>
          <w:numId w:val="17"/>
        </w:num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>Wind Gust Cut-Out: Simultaneous trip of 120 MW wind capacity due to high wind speeds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m:oMath>
        <m:r>
          <w:rPr>
            <w:rFonts w:ascii="Cambria Math" w:hAnsi="Cambria Math" w:cstheme="majorBidi"/>
            <w:sz w:val="20"/>
            <w:szCs w:val="20"/>
          </w:rPr>
          <m:t>(&gt;25 m/s)</m:t>
        </m:r>
      </m:oMath>
      <w:r>
        <w:rPr>
          <w:rFonts w:asciiTheme="majorBidi" w:eastAsiaTheme="minorEastAsia" w:hAnsiTheme="majorBidi" w:cstheme="majorBidi"/>
          <w:sz w:val="20"/>
          <w:szCs w:val="20"/>
        </w:rPr>
        <w:t>.</w:t>
      </w:r>
    </w:p>
    <w:p w14:paraId="742A74BF" w14:textId="72C9C36A" w:rsidR="004B18F1" w:rsidRDefault="004B18F1" w:rsidP="004B18F1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III. MATHAMETICAL FRAMEWORK</w:t>
      </w:r>
    </w:p>
    <w:p w14:paraId="4DCD4CBB" w14:textId="1C7F1450" w:rsidR="004B18F1" w:rsidRDefault="004B18F1" w:rsidP="004B18F1">
      <w:pPr>
        <w:rPr>
          <w:rFonts w:asciiTheme="majorBidi" w:hAnsiTheme="majorBidi" w:cstheme="majorBidi"/>
          <w:sz w:val="20"/>
          <w:szCs w:val="20"/>
        </w:rPr>
      </w:pPr>
      <w:r w:rsidRPr="004B18F1">
        <w:rPr>
          <w:rFonts w:asciiTheme="majorBidi" w:hAnsiTheme="majorBidi" w:cstheme="majorBidi"/>
          <w:sz w:val="20"/>
          <w:szCs w:val="20"/>
        </w:rPr>
        <w:t>To quantify the risk, we analyze the Swing Equation, which governs the rotor dynamics of synchronous machines and, by extension, the grid frequency:</w:t>
      </w:r>
    </w:p>
    <w:p w14:paraId="7834871C" w14:textId="0E009365" w:rsidR="004B18F1" w:rsidRPr="00253240" w:rsidRDefault="00000000" w:rsidP="004B18F1">
      <w:pPr>
        <w:rPr>
          <w:rFonts w:asciiTheme="majorBidi" w:eastAsiaTheme="minorEastAsia" w:hAnsiTheme="majorBidi" w:cstheme="majorBidi"/>
          <w:sz w:val="20"/>
          <w:szCs w:val="20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ajorBidi"/>
                  <w:sz w:val="20"/>
                  <w:szCs w:val="20"/>
                </w:rPr>
                <m:t>2H</m:t>
              </m:r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 </m:t>
              </m:r>
              <m:sSub>
                <m:sSubPr>
                  <m:ctrlPr>
                    <w:rPr>
                      <w:rFonts w:ascii="Cambria Math" w:hAnsi="Cambria Math" w:cstheme="majorBid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s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d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</m:sup>
              </m:sSup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d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  <w:sz w:val="20"/>
              <w:szCs w:val="20"/>
            </w:rPr>
            <m:t xml:space="preserve">= </m:t>
          </m:r>
          <m:sSub>
            <m:sSubPr>
              <m:ctrlPr>
                <w:rPr>
                  <w:rFonts w:ascii="Cambria Math" w:hAnsi="Cambria Math" w:cstheme="majorBid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sz w:val="20"/>
                  <w:szCs w:val="20"/>
                </w:rPr>
                <m:t>m</m:t>
              </m:r>
            </m:sub>
          </m:sSub>
          <m:r>
            <w:rPr>
              <w:rFonts w:ascii="Cambria Math" w:hAnsi="Cambria Math" w:cstheme="majorBid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theme="majorBid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sz w:val="20"/>
                  <w:szCs w:val="20"/>
                </w:rPr>
                <m:t>e</m:t>
              </m:r>
            </m:sub>
          </m:sSub>
        </m:oMath>
      </m:oMathPara>
    </w:p>
    <w:p w14:paraId="3990A142" w14:textId="77777777" w:rsidR="00C656C5" w:rsidRDefault="00C656C5" w:rsidP="004B18F1">
      <w:pPr>
        <w:rPr>
          <w:rFonts w:asciiTheme="majorBidi" w:eastAsiaTheme="minorEastAsia" w:hAnsiTheme="majorBidi" w:cstheme="majorBidi"/>
          <w:sz w:val="20"/>
          <w:szCs w:val="20"/>
        </w:rPr>
      </w:pPr>
    </w:p>
    <w:p w14:paraId="3055909E" w14:textId="6E93DCF5" w:rsidR="00253240" w:rsidRDefault="00253240" w:rsidP="004B18F1">
      <w:pPr>
        <w:rPr>
          <w:rFonts w:asciiTheme="majorBidi" w:eastAsiaTheme="minorEastAsia" w:hAnsiTheme="majorBidi" w:cstheme="majorBidi"/>
          <w:sz w:val="20"/>
          <w:szCs w:val="20"/>
        </w:rPr>
      </w:pPr>
      <w:r>
        <w:rPr>
          <w:rFonts w:asciiTheme="majorBidi" w:eastAsiaTheme="minorEastAsia" w:hAnsiTheme="majorBidi" w:cstheme="majorBidi"/>
          <w:sz w:val="20"/>
          <w:szCs w:val="20"/>
        </w:rPr>
        <w:lastRenderedPageBreak/>
        <w:t>Where:</w:t>
      </w:r>
    </w:p>
    <w:p w14:paraId="5FE50852" w14:textId="7D534B75" w:rsidR="00253240" w:rsidRPr="00253240" w:rsidRDefault="00253240" w:rsidP="00253240">
      <w:pPr>
        <w:numPr>
          <w:ilvl w:val="0"/>
          <w:numId w:val="19"/>
        </w:numPr>
        <w:rPr>
          <w:rFonts w:asciiTheme="majorBidi" w:hAnsiTheme="majorBidi" w:cstheme="majorBidi"/>
          <w:sz w:val="20"/>
          <w:szCs w:val="20"/>
        </w:rPr>
      </w:pPr>
      <m:oMath>
        <m:r>
          <w:rPr>
            <w:rFonts w:ascii="Cambria Math" w:hAnsi="Cambria Math" w:cstheme="majorBidi"/>
            <w:sz w:val="20"/>
            <w:szCs w:val="20"/>
          </w:rPr>
          <m:t>H</m:t>
        </m:r>
      </m:oMath>
      <w:r w:rsidRPr="00253240">
        <w:rPr>
          <w:rFonts w:asciiTheme="majorBidi" w:hAnsiTheme="majorBidi" w:cstheme="majorBidi"/>
          <w:sz w:val="20"/>
          <w:szCs w:val="20"/>
        </w:rPr>
        <w:t xml:space="preserve"> is the inertia constant (s).</w:t>
      </w:r>
    </w:p>
    <w:p w14:paraId="707D25B3" w14:textId="2A56AEE3" w:rsidR="00253240" w:rsidRPr="00253240" w:rsidRDefault="00000000" w:rsidP="00253240">
      <w:pPr>
        <w:numPr>
          <w:ilvl w:val="0"/>
          <w:numId w:val="19"/>
        </w:numPr>
        <w:rPr>
          <w:rFonts w:asciiTheme="majorBidi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 w:cstheme="majorBidi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m</m:t>
            </m:r>
          </m:sub>
        </m:sSub>
      </m:oMath>
      <w:r w:rsidR="00253240" w:rsidRPr="00253240">
        <w:rPr>
          <w:rFonts w:asciiTheme="majorBidi" w:hAnsiTheme="majorBidi" w:cstheme="majorBidi"/>
          <w:sz w:val="20"/>
          <w:szCs w:val="20"/>
        </w:rPr>
        <w:t xml:space="preserve"> is mechanical power (p.u.).</w:t>
      </w:r>
    </w:p>
    <w:p w14:paraId="2FD6E420" w14:textId="159E776D" w:rsidR="00253240" w:rsidRPr="00C656C5" w:rsidRDefault="00000000" w:rsidP="00C656C5">
      <w:pPr>
        <w:numPr>
          <w:ilvl w:val="0"/>
          <w:numId w:val="19"/>
        </w:numPr>
        <w:rPr>
          <w:rFonts w:asciiTheme="majorBidi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 w:cstheme="majorBidi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e</m:t>
            </m:r>
          </m:sub>
        </m:sSub>
      </m:oMath>
      <w:r w:rsidR="00253240" w:rsidRPr="00253240">
        <w:rPr>
          <w:rFonts w:asciiTheme="majorBidi" w:hAnsiTheme="majorBidi" w:cstheme="majorBidi"/>
          <w:sz w:val="20"/>
          <w:szCs w:val="20"/>
        </w:rPr>
        <w:t xml:space="preserve"> is electrical power (p.u.).</w:t>
      </w:r>
    </w:p>
    <w:p w14:paraId="0D08F56B" w14:textId="2A198382" w:rsidR="00253240" w:rsidRPr="00253240" w:rsidRDefault="00253240" w:rsidP="00253240">
      <w:pPr>
        <w:rPr>
          <w:rFonts w:asciiTheme="majorBidi" w:eastAsiaTheme="minorEastAsia" w:hAnsiTheme="majorBidi" w:cstheme="majorBidi"/>
          <w:sz w:val="20"/>
          <w:szCs w:val="20"/>
        </w:rPr>
      </w:pPr>
      <w:r w:rsidRPr="00253240">
        <w:rPr>
          <w:rFonts w:asciiTheme="majorBidi" w:hAnsiTheme="majorBidi" w:cstheme="majorBidi"/>
          <w:sz w:val="20"/>
          <w:szCs w:val="20"/>
        </w:rPr>
        <w:t xml:space="preserve">The </w:t>
      </w:r>
      <w:r w:rsidRPr="00253240">
        <w:rPr>
          <w:rFonts w:asciiTheme="majorBidi" w:hAnsiTheme="majorBidi" w:cstheme="majorBidi"/>
          <w:b/>
          <w:bCs/>
          <w:sz w:val="20"/>
          <w:szCs w:val="20"/>
        </w:rPr>
        <w:t>Rate of Change of Frequency (RoCoF)</w:t>
      </w:r>
      <w:r w:rsidRPr="00253240">
        <w:rPr>
          <w:rFonts w:asciiTheme="majorBidi" w:hAnsiTheme="majorBidi" w:cstheme="majorBidi"/>
          <w:sz w:val="20"/>
          <w:szCs w:val="20"/>
        </w:rPr>
        <w:t xml:space="preserve"> immediately following a disturbance ($\Delta P$) is calculated as:</w:t>
      </w:r>
    </w:p>
    <w:p w14:paraId="25C03D5C" w14:textId="112C4987" w:rsidR="0007060A" w:rsidRPr="008D1D77" w:rsidRDefault="00253240" w:rsidP="008D1D77">
      <w:pPr>
        <w:rPr>
          <w:rFonts w:asciiTheme="majorBidi" w:hAnsiTheme="majorBidi" w:cstheme="majorBidi"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 w:cstheme="majorBidi"/>
              <w:sz w:val="20"/>
              <w:szCs w:val="20"/>
            </w:rPr>
            <m:t>RoCoF=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ajorBidi"/>
                  <w:sz w:val="20"/>
                  <w:szCs w:val="20"/>
                </w:rPr>
                <m:t>df</m:t>
              </m: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dt</m:t>
              </m:r>
            </m:den>
          </m:f>
          <m:r>
            <m:rPr>
              <m:sty m:val="b"/>
            </m:rPr>
            <w:rPr>
              <w:rFonts w:ascii="Cambria Math" w:hAnsi="Cambria Math" w:cstheme="majorBidi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 w:cstheme="majorBidi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-∆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P</m:t>
              </m:r>
              <m:r>
                <w:rPr>
                  <w:rFonts w:ascii="Cambria Math" w:hAnsi="Cambria Math" w:cstheme="majorBidi"/>
                  <w:sz w:val="20"/>
                  <w:szCs w:val="20"/>
                </w:rPr>
                <m:t>.</m:t>
              </m:r>
              <m:sSub>
                <m:sSubPr>
                  <m:ctrlPr>
                    <w:rPr>
                      <w:rFonts w:ascii="Cambria Math" w:hAnsi="Cambria Math" w:cstheme="majorBid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2.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sys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Base</m:t>
                  </m:r>
                </m:sub>
              </m:sSub>
            </m:den>
          </m:f>
        </m:oMath>
      </m:oMathPara>
    </w:p>
    <w:p w14:paraId="76C7935F" w14:textId="6B744950" w:rsidR="0007060A" w:rsidRDefault="008D1D77" w:rsidP="008D1D77">
      <w:pPr>
        <w:rPr>
          <w:rFonts w:asciiTheme="majorBidi" w:hAnsiTheme="majorBidi" w:cstheme="majorBidi"/>
          <w:sz w:val="20"/>
          <w:szCs w:val="20"/>
        </w:rPr>
      </w:pPr>
      <w:r w:rsidRPr="008D1D77">
        <w:rPr>
          <w:rFonts w:asciiTheme="majorBidi" w:hAnsiTheme="majorBidi" w:cstheme="majorBidi"/>
          <w:b/>
          <w:bCs/>
          <w:sz w:val="20"/>
          <w:szCs w:val="20"/>
        </w:rPr>
        <w:t>Constraint:</w:t>
      </w:r>
      <w:r w:rsidRPr="008D1D77">
        <w:rPr>
          <w:rFonts w:asciiTheme="majorBidi" w:hAnsiTheme="majorBidi" w:cstheme="majorBidi"/>
          <w:sz w:val="20"/>
          <w:szCs w:val="20"/>
        </w:rPr>
        <w:t xml:space="preserve"> The NTDC Grid Code requires </w:t>
      </w:r>
      <m:oMath>
        <m:r>
          <w:rPr>
            <w:rFonts w:ascii="Cambria Math" w:hAnsi="Cambria Math" w:cstheme="majorBidi"/>
            <w:sz w:val="20"/>
            <w:szCs w:val="20"/>
          </w:rPr>
          <m:t>|</m:t>
        </m:r>
        <m:r>
          <m:rPr>
            <m:sty m:val="b"/>
          </m:rPr>
          <w:rPr>
            <w:rFonts w:ascii="Cambria Math" w:hAnsi="Cambria Math" w:cstheme="majorBidi"/>
            <w:sz w:val="20"/>
            <w:szCs w:val="20"/>
          </w:rPr>
          <m:t>RoCoF|≤</m:t>
        </m:r>
        <m:r>
          <m:rPr>
            <m:sty m:val="p"/>
          </m:rPr>
          <w:rPr>
            <w:rFonts w:ascii="Cambria Math" w:hAnsi="Cambria Math" w:cstheme="majorBidi"/>
            <w:sz w:val="20"/>
            <w:szCs w:val="20"/>
          </w:rPr>
          <m:t xml:space="preserve">0.5 </m:t>
        </m:r>
        <m:r>
          <w:rPr>
            <w:rFonts w:ascii="Cambria Math" w:hAnsi="Cambria Math" w:cstheme="majorBidi"/>
            <w:sz w:val="20"/>
            <w:szCs w:val="20"/>
          </w:rPr>
          <m:t>Hz/s</m:t>
        </m:r>
      </m:oMath>
      <w:r w:rsidRPr="008D1D77">
        <w:rPr>
          <w:rFonts w:asciiTheme="majorBidi" w:hAnsiTheme="majorBidi" w:cstheme="majorBidi"/>
          <w:sz w:val="20"/>
          <w:szCs w:val="20"/>
        </w:rPr>
        <w:t xml:space="preserve"> to prevent cascading trips [4].</w:t>
      </w:r>
    </w:p>
    <w:p w14:paraId="3BFC8452" w14:textId="77777777" w:rsidR="008D1D77" w:rsidRDefault="008D1D77" w:rsidP="008D1D77">
      <w:pPr>
        <w:rPr>
          <w:rFonts w:asciiTheme="majorBidi" w:hAnsiTheme="majorBidi" w:cstheme="majorBidi"/>
          <w:b/>
          <w:bCs/>
          <w:sz w:val="20"/>
          <w:szCs w:val="20"/>
        </w:rPr>
      </w:pPr>
      <w:r w:rsidRPr="00A00965">
        <w:rPr>
          <w:rFonts w:asciiTheme="majorBidi" w:hAnsiTheme="majorBidi" w:cstheme="majorBidi"/>
          <w:b/>
          <w:bCs/>
          <w:sz w:val="20"/>
          <w:szCs w:val="20"/>
        </w:rPr>
        <w:t xml:space="preserve">IV. </w:t>
      </w:r>
      <w:r>
        <w:rPr>
          <w:rFonts w:asciiTheme="majorBidi" w:hAnsiTheme="majorBidi" w:cstheme="majorBidi"/>
          <w:b/>
          <w:bCs/>
          <w:sz w:val="20"/>
          <w:szCs w:val="20"/>
        </w:rPr>
        <w:t>STABILITY ANALYSIS</w:t>
      </w:r>
    </w:p>
    <w:p w14:paraId="16798BFA" w14:textId="790C4125" w:rsidR="008D1D77" w:rsidRPr="008D1D77" w:rsidRDefault="00A63997" w:rsidP="008D1D77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1.</w:t>
      </w:r>
      <w:r w:rsidR="008D1D77" w:rsidRPr="008D1D77">
        <w:rPr>
          <w:rFonts w:asciiTheme="majorBidi" w:hAnsiTheme="majorBidi" w:cstheme="majorBidi"/>
          <w:b/>
          <w:bCs/>
          <w:sz w:val="20"/>
          <w:szCs w:val="20"/>
        </w:rPr>
        <w:t xml:space="preserve"> The "Duck Curve" Phenomenon</w:t>
      </w:r>
    </w:p>
    <w:p w14:paraId="37EA55D1" w14:textId="7D5426FF" w:rsidR="008D1D77" w:rsidRDefault="008D1D77" w:rsidP="008D1D77">
      <w:pPr>
        <w:rPr>
          <w:rFonts w:asciiTheme="majorBidi" w:hAnsiTheme="majorBidi" w:cstheme="majorBidi"/>
          <w:sz w:val="20"/>
          <w:szCs w:val="20"/>
        </w:rPr>
      </w:pPr>
      <w:r w:rsidRPr="008D1D77">
        <w:rPr>
          <w:rFonts w:asciiTheme="majorBidi" w:hAnsiTheme="majorBidi" w:cstheme="majorBidi"/>
          <w:sz w:val="20"/>
          <w:szCs w:val="20"/>
        </w:rPr>
        <w:t>The integration of solar PV creates a steep ramping requirement for the grid.</w:t>
      </w:r>
    </w:p>
    <w:p w14:paraId="41FE37C1" w14:textId="5F055BFD" w:rsidR="008D1D77" w:rsidRDefault="00C656C5" w:rsidP="008D1D77">
      <w:pPr>
        <w:rPr>
          <w:rFonts w:asciiTheme="majorBidi" w:hAnsiTheme="majorBidi" w:cstheme="majorBidi"/>
          <w:sz w:val="20"/>
          <w:szCs w:val="20"/>
        </w:rPr>
      </w:pPr>
      <w:r w:rsidRPr="005C298F">
        <w:rPr>
          <w:noProof/>
        </w:rPr>
        <w:drawing>
          <wp:anchor distT="0" distB="0" distL="114300" distR="114300" simplePos="0" relativeHeight="251667456" behindDoc="1" locked="0" layoutInCell="1" allowOverlap="1" wp14:anchorId="27F21E1C" wp14:editId="2FBA4C10">
            <wp:simplePos x="0" y="0"/>
            <wp:positionH relativeFrom="column">
              <wp:posOffset>133350</wp:posOffset>
            </wp:positionH>
            <wp:positionV relativeFrom="paragraph">
              <wp:posOffset>3810</wp:posOffset>
            </wp:positionV>
            <wp:extent cx="2179955" cy="2325370"/>
            <wp:effectExtent l="0" t="0" r="0" b="0"/>
            <wp:wrapNone/>
            <wp:docPr id="158374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91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017E9" w14:textId="3DAC3524" w:rsidR="008D1D77" w:rsidRDefault="008D1D77" w:rsidP="008D1D77">
      <w:pPr>
        <w:rPr>
          <w:rFonts w:asciiTheme="majorBidi" w:hAnsiTheme="majorBidi" w:cstheme="majorBidi"/>
          <w:sz w:val="20"/>
          <w:szCs w:val="20"/>
        </w:rPr>
      </w:pPr>
    </w:p>
    <w:p w14:paraId="7AA44E80" w14:textId="3AABF08C" w:rsidR="008D1D77" w:rsidRDefault="008D1D77" w:rsidP="008D1D77">
      <w:pPr>
        <w:rPr>
          <w:rFonts w:asciiTheme="majorBidi" w:hAnsiTheme="majorBidi" w:cstheme="majorBidi"/>
          <w:sz w:val="20"/>
          <w:szCs w:val="20"/>
        </w:rPr>
      </w:pPr>
    </w:p>
    <w:p w14:paraId="070D2186" w14:textId="1C824F94" w:rsidR="008D1D77" w:rsidRDefault="008D1D77" w:rsidP="008D1D77">
      <w:pPr>
        <w:rPr>
          <w:rFonts w:asciiTheme="majorBidi" w:hAnsiTheme="majorBidi" w:cstheme="majorBidi"/>
          <w:sz w:val="20"/>
          <w:szCs w:val="20"/>
        </w:rPr>
      </w:pPr>
    </w:p>
    <w:p w14:paraId="2D827F44" w14:textId="308B2E6F" w:rsidR="008D1D77" w:rsidRDefault="008D1D77" w:rsidP="008D1D77">
      <w:pPr>
        <w:rPr>
          <w:rFonts w:asciiTheme="majorBidi" w:hAnsiTheme="majorBidi" w:cstheme="majorBidi"/>
          <w:sz w:val="20"/>
          <w:szCs w:val="20"/>
        </w:rPr>
      </w:pPr>
    </w:p>
    <w:p w14:paraId="2EA0086D" w14:textId="77777777" w:rsidR="008D1D77" w:rsidRDefault="008D1D77" w:rsidP="008D1D77">
      <w:pPr>
        <w:rPr>
          <w:rFonts w:asciiTheme="majorBidi" w:hAnsiTheme="majorBidi" w:cstheme="majorBidi"/>
          <w:sz w:val="20"/>
          <w:szCs w:val="20"/>
        </w:rPr>
      </w:pPr>
    </w:p>
    <w:p w14:paraId="7EF8DDA2" w14:textId="1DC924E6" w:rsidR="008D1D77" w:rsidRDefault="008D1D77" w:rsidP="008D1D77">
      <w:pPr>
        <w:rPr>
          <w:rFonts w:asciiTheme="majorBidi" w:hAnsiTheme="majorBidi" w:cstheme="majorBidi"/>
          <w:sz w:val="20"/>
          <w:szCs w:val="20"/>
        </w:rPr>
      </w:pPr>
    </w:p>
    <w:p w14:paraId="58611712" w14:textId="33741C16" w:rsidR="008D1D77" w:rsidRDefault="008D1D77" w:rsidP="008D1D77">
      <w:pPr>
        <w:rPr>
          <w:rFonts w:asciiTheme="majorBidi" w:hAnsiTheme="majorBidi" w:cstheme="majorBidi"/>
          <w:sz w:val="20"/>
          <w:szCs w:val="20"/>
        </w:rPr>
      </w:pPr>
      <w:r w:rsidRPr="00A00965">
        <w:rPr>
          <w:rFonts w:asciiTheme="majorBidi" w:hAnsiTheme="majorBidi" w:cstheme="majorBidi"/>
          <w:sz w:val="20"/>
          <w:szCs w:val="20"/>
        </w:rPr>
        <w:t xml:space="preserve"> </w:t>
      </w:r>
    </w:p>
    <w:p w14:paraId="59381D4F" w14:textId="2C5D1CD3" w:rsidR="008D1D77" w:rsidRDefault="008D1D77" w:rsidP="007E056D">
      <w:pPr>
        <w:rPr>
          <w:rFonts w:asciiTheme="majorBidi" w:hAnsiTheme="majorBidi" w:cstheme="majorBidi"/>
          <w:sz w:val="20"/>
          <w:szCs w:val="20"/>
        </w:rPr>
      </w:pPr>
    </w:p>
    <w:p w14:paraId="366B6244" w14:textId="238222B9" w:rsidR="005C298F" w:rsidRPr="005C298F" w:rsidRDefault="005C298F" w:rsidP="005C298F">
      <w:pPr>
        <w:rPr>
          <w:rFonts w:asciiTheme="majorBidi" w:hAnsiTheme="majorBidi" w:cstheme="majorBidi"/>
          <w:b/>
          <w:bCs/>
          <w:sz w:val="20"/>
          <w:szCs w:val="20"/>
        </w:rPr>
      </w:pPr>
      <w:r w:rsidRPr="005C298F">
        <w:rPr>
          <w:rFonts w:asciiTheme="majorBidi" w:hAnsiTheme="majorBidi" w:cstheme="majorBidi"/>
          <w:b/>
          <w:bCs/>
          <w:sz w:val="20"/>
          <w:szCs w:val="20"/>
        </w:rPr>
        <w:t>2</w:t>
      </w:r>
      <w:r w:rsidR="00A63997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5C298F">
        <w:rPr>
          <w:rFonts w:asciiTheme="majorBidi" w:hAnsiTheme="majorBidi" w:cstheme="majorBidi"/>
          <w:b/>
          <w:bCs/>
          <w:sz w:val="20"/>
          <w:szCs w:val="20"/>
        </w:rPr>
        <w:t xml:space="preserve"> Frequency Response Calculation</w:t>
      </w:r>
    </w:p>
    <w:p w14:paraId="50A58CDD" w14:textId="29492423" w:rsidR="005C298F" w:rsidRPr="005C298F" w:rsidRDefault="00C656C5" w:rsidP="005C298F">
      <w:pPr>
        <w:rPr>
          <w:rFonts w:asciiTheme="majorBidi" w:hAnsiTheme="majorBidi" w:cstheme="majorBidi"/>
          <w:sz w:val="20"/>
          <w:szCs w:val="20"/>
        </w:rPr>
      </w:pPr>
      <w:r w:rsidRPr="005C298F">
        <w:rPr>
          <w:rFonts w:asciiTheme="majorBidi" w:hAnsiTheme="majorBidi" w:cstheme="majorBidi"/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0F3879E8" wp14:editId="34C975D5">
            <wp:simplePos x="0" y="0"/>
            <wp:positionH relativeFrom="margin">
              <wp:posOffset>158115</wp:posOffset>
            </wp:positionH>
            <wp:positionV relativeFrom="paragraph">
              <wp:posOffset>420370</wp:posOffset>
            </wp:positionV>
            <wp:extent cx="2068586" cy="2247900"/>
            <wp:effectExtent l="0" t="0" r="8255" b="0"/>
            <wp:wrapNone/>
            <wp:docPr id="18244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979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586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98F" w:rsidRPr="005C298F">
        <w:rPr>
          <w:rFonts w:asciiTheme="majorBidi" w:hAnsiTheme="majorBidi" w:cstheme="majorBidi"/>
          <w:sz w:val="20"/>
          <w:szCs w:val="20"/>
        </w:rPr>
        <w:t>During the simultaneous wind and solar loss event, the system inertia is insufficient.</w:t>
      </w:r>
    </w:p>
    <w:p w14:paraId="52B108D2" w14:textId="494F96AF" w:rsidR="005C298F" w:rsidRDefault="005C298F" w:rsidP="007E056D">
      <w:pPr>
        <w:rPr>
          <w:rFonts w:asciiTheme="majorBidi" w:hAnsiTheme="majorBidi" w:cstheme="majorBidi"/>
          <w:sz w:val="20"/>
          <w:szCs w:val="20"/>
        </w:rPr>
      </w:pPr>
    </w:p>
    <w:p w14:paraId="407E97BE" w14:textId="19DCC707" w:rsidR="005C298F" w:rsidRDefault="005C298F" w:rsidP="007E056D">
      <w:pPr>
        <w:rPr>
          <w:rFonts w:asciiTheme="majorBidi" w:hAnsiTheme="majorBidi" w:cstheme="majorBidi"/>
          <w:sz w:val="20"/>
          <w:szCs w:val="20"/>
        </w:rPr>
      </w:pPr>
    </w:p>
    <w:p w14:paraId="5DF440AE" w14:textId="39A3B13C" w:rsidR="005C298F" w:rsidRDefault="005C298F" w:rsidP="007E056D">
      <w:pPr>
        <w:rPr>
          <w:rFonts w:asciiTheme="majorBidi" w:hAnsiTheme="majorBidi" w:cstheme="majorBidi"/>
          <w:sz w:val="20"/>
          <w:szCs w:val="20"/>
        </w:rPr>
      </w:pPr>
    </w:p>
    <w:p w14:paraId="2FBFDD27" w14:textId="77777777" w:rsidR="00C656C5" w:rsidRDefault="00C656C5" w:rsidP="005C298F">
      <w:pPr>
        <w:pStyle w:val="NormalWeb"/>
        <w:rPr>
          <w:b/>
          <w:bCs/>
          <w:sz w:val="20"/>
          <w:szCs w:val="20"/>
        </w:rPr>
      </w:pPr>
    </w:p>
    <w:p w14:paraId="0E4CEC69" w14:textId="77777777" w:rsidR="00C656C5" w:rsidRDefault="00C656C5" w:rsidP="005C298F">
      <w:pPr>
        <w:pStyle w:val="NormalWeb"/>
        <w:rPr>
          <w:b/>
          <w:bCs/>
          <w:sz w:val="20"/>
          <w:szCs w:val="20"/>
        </w:rPr>
      </w:pPr>
    </w:p>
    <w:p w14:paraId="06B3A1FF" w14:textId="77777777" w:rsidR="00C656C5" w:rsidRDefault="00C656C5" w:rsidP="005C298F">
      <w:pPr>
        <w:pStyle w:val="NormalWeb"/>
        <w:rPr>
          <w:b/>
          <w:bCs/>
          <w:sz w:val="20"/>
          <w:szCs w:val="20"/>
        </w:rPr>
      </w:pPr>
    </w:p>
    <w:p w14:paraId="64158ADE" w14:textId="74E29DB7" w:rsidR="005C298F" w:rsidRDefault="005C298F" w:rsidP="005C298F">
      <w:pPr>
        <w:pStyle w:val="NormalWeb"/>
        <w:rPr>
          <w:b/>
          <w:bCs/>
          <w:sz w:val="20"/>
          <w:szCs w:val="20"/>
        </w:rPr>
      </w:pPr>
      <w:r w:rsidRPr="003F2A44">
        <w:rPr>
          <w:b/>
          <w:bCs/>
          <w:sz w:val="20"/>
          <w:szCs w:val="20"/>
        </w:rPr>
        <w:t xml:space="preserve">V. </w:t>
      </w:r>
      <w:r w:rsidRPr="005C298F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ROPOSED MITIGATION; BATTERY ENERGY STORAGE (BESS)</w:t>
      </w:r>
    </w:p>
    <w:p w14:paraId="6FF5A95C" w14:textId="77777777" w:rsidR="005C298F" w:rsidRPr="005C298F" w:rsidRDefault="005C298F" w:rsidP="005C298F">
      <w:pPr>
        <w:pStyle w:val="NormalWeb"/>
        <w:rPr>
          <w:sz w:val="20"/>
          <w:szCs w:val="20"/>
        </w:rPr>
      </w:pPr>
      <w:r w:rsidRPr="005C298F">
        <w:rPr>
          <w:sz w:val="20"/>
          <w:szCs w:val="20"/>
        </w:rPr>
        <w:t>To counteract the low inertia, a Lithium-Ion BESS is proposed to provide Synthetic Inertia.</w:t>
      </w:r>
    </w:p>
    <w:p w14:paraId="3E6F2841" w14:textId="77777777" w:rsidR="005C298F" w:rsidRPr="005C298F" w:rsidRDefault="005C298F" w:rsidP="005C298F">
      <w:pPr>
        <w:pStyle w:val="NormalWeb"/>
        <w:rPr>
          <w:b/>
          <w:bCs/>
          <w:sz w:val="20"/>
          <w:szCs w:val="20"/>
        </w:rPr>
      </w:pPr>
      <w:r w:rsidRPr="005C298F">
        <w:rPr>
          <w:b/>
          <w:bCs/>
          <w:sz w:val="20"/>
          <w:szCs w:val="20"/>
        </w:rPr>
        <w:t>5.1 BESS Sizing Calculation</w:t>
      </w:r>
    </w:p>
    <w:p w14:paraId="49682CF0" w14:textId="6910FB82" w:rsidR="005C298F" w:rsidRPr="005C298F" w:rsidRDefault="005C298F" w:rsidP="005C298F">
      <w:pPr>
        <w:pStyle w:val="NormalWeb"/>
        <w:rPr>
          <w:sz w:val="20"/>
          <w:szCs w:val="20"/>
        </w:rPr>
      </w:pPr>
      <w:r w:rsidRPr="005C298F">
        <w:rPr>
          <w:sz w:val="20"/>
          <w:szCs w:val="20"/>
        </w:rPr>
        <w:t xml:space="preserve">We must reduce the </w:t>
      </w:r>
      <m:oMath>
        <m:r>
          <m:rPr>
            <m:sty m:val="b"/>
          </m:rPr>
          <w:rPr>
            <w:rFonts w:ascii="Cambria Math" w:hAnsi="Cambria Math" w:cstheme="majorBidi"/>
            <w:sz w:val="20"/>
            <w:szCs w:val="20"/>
          </w:rPr>
          <m:t>RoCoF</m:t>
        </m:r>
      </m:oMath>
      <w:r w:rsidRPr="005C298F">
        <w:rPr>
          <w:sz w:val="20"/>
          <w:szCs w:val="20"/>
        </w:rPr>
        <w:t xml:space="preserve"> from</w:t>
      </w:r>
      <m:oMath>
        <m:r>
          <m:rPr>
            <m:sty m:val="p"/>
          </m:rPr>
          <w:rPr>
            <w:rFonts w:ascii="Cambria Math" w:hAnsi="Cambria Math" w:cstheme="majorBidi"/>
            <w:sz w:val="20"/>
            <w:szCs w:val="20"/>
          </w:rPr>
          <m:t xml:space="preserve">0.857 </m:t>
        </m:r>
        <m:r>
          <w:rPr>
            <w:rFonts w:ascii="Cambria Math" w:hAnsi="Cambria Math" w:cstheme="majorBidi"/>
            <w:sz w:val="20"/>
            <w:szCs w:val="20"/>
          </w:rPr>
          <m:t>Hz/s</m:t>
        </m:r>
      </m:oMath>
      <w:r w:rsidRPr="005C298F">
        <w:rPr>
          <w:sz w:val="20"/>
          <w:szCs w:val="20"/>
        </w:rPr>
        <w:t xml:space="preserve"> to a safe target of </w:t>
      </w:r>
      <m:oMath>
        <m:r>
          <m:rPr>
            <m:sty m:val="p"/>
          </m:rPr>
          <w:rPr>
            <w:rFonts w:ascii="Cambria Math" w:hAnsi="Cambria Math" w:cstheme="majorBidi"/>
            <w:sz w:val="20"/>
            <w:szCs w:val="20"/>
          </w:rPr>
          <m:t xml:space="preserve">0.4 </m:t>
        </m:r>
        <m:r>
          <w:rPr>
            <w:rFonts w:ascii="Cambria Math" w:hAnsi="Cambria Math" w:cstheme="majorBidi"/>
            <w:sz w:val="20"/>
            <w:szCs w:val="20"/>
          </w:rPr>
          <m:t>Hz/s</m:t>
        </m:r>
      </m:oMath>
      <w:r w:rsidRPr="005C298F">
        <w:rPr>
          <w:sz w:val="20"/>
          <w:szCs w:val="20"/>
        </w:rPr>
        <w:t>.</w:t>
      </w:r>
    </w:p>
    <w:p w14:paraId="3C90DF89" w14:textId="188C8723" w:rsidR="005C298F" w:rsidRPr="005C298F" w:rsidRDefault="005C298F" w:rsidP="005C298F">
      <w:pPr>
        <w:pStyle w:val="NormalWeb"/>
        <w:rPr>
          <w:sz w:val="20"/>
          <w:szCs w:val="20"/>
        </w:rPr>
      </w:pPr>
      <w:r w:rsidRPr="005C298F">
        <w:rPr>
          <w:sz w:val="20"/>
          <w:szCs w:val="20"/>
        </w:rPr>
        <w:t xml:space="preserve">First, we calculate the Required System Inertia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(H</m:t>
            </m:r>
          </m:e>
          <m:sub>
            <m:r>
              <w:rPr>
                <w:rFonts w:ascii="Cambria Math" w:eastAsiaTheme="minorEastAsia" w:hAnsi="Cambria Math" w:cstheme="majorBidi"/>
                <w:kern w:val="2"/>
                <w:sz w:val="20"/>
                <w:szCs w:val="20"/>
                <w:lang w:eastAsia="en-US"/>
                <w14:ligatures w14:val="standardContextual"/>
              </w:rPr>
              <m:t>req</m:t>
            </m:r>
          </m:sub>
        </m:sSub>
        <m:r>
          <w:rPr>
            <w:rFonts w:ascii="Cambria Math" w:eastAsiaTheme="minorEastAsia" w:hAnsi="Cambria Math" w:cstheme="majorBidi"/>
            <w:kern w:val="2"/>
            <w:sz w:val="20"/>
            <w:szCs w:val="20"/>
            <w:lang w:eastAsia="en-US"/>
            <w14:ligatures w14:val="standardContextual"/>
          </w:rPr>
          <m:t>)</m:t>
        </m:r>
      </m:oMath>
      <w:r w:rsidRPr="005C298F">
        <w:rPr>
          <w:sz w:val="20"/>
          <w:szCs w:val="20"/>
        </w:rPr>
        <w:t>to achieve this target:</w:t>
      </w:r>
    </w:p>
    <w:p w14:paraId="14621E67" w14:textId="4526D21C" w:rsidR="005C298F" w:rsidRPr="005C298F" w:rsidRDefault="00000000" w:rsidP="005C298F">
      <w:pPr>
        <w:pStyle w:val="NormalWeb"/>
        <w:rPr>
          <w:kern w:val="2"/>
          <w:sz w:val="20"/>
          <w:szCs w:val="20"/>
          <w:lang w:eastAsia="en-US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kern w:val="2"/>
                  <w:sz w:val="20"/>
                  <w:szCs w:val="20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ajorBidi"/>
                  <w:kern w:val="2"/>
                  <w:sz w:val="20"/>
                  <w:szCs w:val="20"/>
                  <w:lang w:eastAsia="en-US"/>
                  <w14:ligatures w14:val="standardContextual"/>
                </w:rPr>
                <m:t>req</m:t>
              </m:r>
            </m:sub>
          </m:sSub>
          <m:r>
            <w:rPr>
              <w:rFonts w:ascii="Cambria Math" w:eastAsiaTheme="minorEastAsia" w:hAnsi="Cambria Math" w:cstheme="majorBidi"/>
              <w:kern w:val="2"/>
              <w:sz w:val="20"/>
              <w:szCs w:val="20"/>
              <w:lang w:eastAsia="en-US"/>
              <w14:ligatures w14:val="standardContextual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kern w:val="2"/>
                  <w:sz w:val="20"/>
                  <w:szCs w:val="20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-∆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P</m:t>
              </m:r>
              <m:r>
                <w:rPr>
                  <w:rFonts w:ascii="Cambria Math" w:hAnsi="Cambria Math" w:cstheme="majorBidi"/>
                  <w:sz w:val="20"/>
                  <w:szCs w:val="20"/>
                </w:rPr>
                <m:t>.</m:t>
              </m:r>
              <m:sSub>
                <m:sSubPr>
                  <m:ctrlPr>
                    <w:rPr>
                      <w:rFonts w:ascii="Cambria Math" w:hAnsi="Cambria Math" w:cstheme="majorBid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2.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kern w:val="2"/>
                      <w:sz w:val="20"/>
                      <w:szCs w:val="20"/>
                      <w:lang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</w:rPr>
                    <m:t>RoCoF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target</m:t>
                  </m:r>
                </m:sub>
              </m:sSub>
            </m:den>
          </m:f>
        </m:oMath>
      </m:oMathPara>
    </w:p>
    <w:p w14:paraId="4C5B5BEB" w14:textId="3AD08552" w:rsidR="005C298F" w:rsidRPr="005C298F" w:rsidRDefault="00000000" w:rsidP="005C298F">
      <w:pPr>
        <w:pStyle w:val="NormalWeb"/>
        <w:rPr>
          <w:kern w:val="2"/>
          <w:sz w:val="20"/>
          <w:szCs w:val="20"/>
          <w:lang w:eastAsia="en-US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kern w:val="2"/>
                  <w:sz w:val="20"/>
                  <w:szCs w:val="20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ajorBidi"/>
                  <w:kern w:val="2"/>
                  <w:sz w:val="20"/>
                  <w:szCs w:val="20"/>
                  <w:lang w:eastAsia="en-US"/>
                  <w14:ligatures w14:val="standardContextual"/>
                </w:rPr>
                <m:t>req</m:t>
              </m:r>
            </m:sub>
          </m:sSub>
          <m:r>
            <w:rPr>
              <w:rFonts w:ascii="Cambria Math" w:eastAsiaTheme="minorEastAsia" w:hAnsi="Cambria Math" w:cstheme="majorBidi"/>
              <w:kern w:val="2"/>
              <w:sz w:val="20"/>
              <w:szCs w:val="20"/>
              <w:lang w:eastAsia="en-US"/>
              <w14:ligatures w14:val="standardContextual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kern w:val="2"/>
                  <w:sz w:val="20"/>
                  <w:szCs w:val="20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0,12 ×50</m:t>
              </m:r>
            </m:num>
            <m:den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2×0.4</m:t>
              </m:r>
            </m:den>
          </m:f>
          <m:r>
            <w:rPr>
              <w:rFonts w:ascii="Cambria Math" w:hAnsi="Cambria Math"/>
              <w:kern w:val="2"/>
              <w:sz w:val="20"/>
              <w:szCs w:val="20"/>
              <w:lang w:eastAsia="en-US"/>
              <w14:ligatures w14:val="standardContextual"/>
            </w:rPr>
            <m:t>=7.5s</m:t>
          </m:r>
        </m:oMath>
      </m:oMathPara>
    </w:p>
    <w:p w14:paraId="0728EFC5" w14:textId="50CACB21" w:rsidR="005C298F" w:rsidRPr="005C298F" w:rsidRDefault="005C298F" w:rsidP="005C298F">
      <w:pPr>
        <w:pStyle w:val="NormalWeb"/>
        <w:rPr>
          <w:kern w:val="2"/>
          <w:sz w:val="20"/>
          <w:szCs w:val="20"/>
          <w:lang w:eastAsia="en-US"/>
          <w14:ligatures w14:val="standardContextual"/>
        </w:rPr>
      </w:pPr>
      <w:r w:rsidRPr="005C298F">
        <w:rPr>
          <w:kern w:val="2"/>
          <w:sz w:val="20"/>
          <w:szCs w:val="20"/>
          <w:lang w:eastAsia="en-US"/>
          <w14:ligatures w14:val="standardContextual"/>
        </w:rPr>
        <w:t xml:space="preserve">The </w:t>
      </w:r>
      <w:r w:rsidRPr="005C298F">
        <w:rPr>
          <w:b/>
          <w:bCs/>
          <w:kern w:val="2"/>
          <w:sz w:val="20"/>
          <w:szCs w:val="20"/>
          <w:lang w:eastAsia="en-US"/>
          <w14:ligatures w14:val="standardContextual"/>
        </w:rPr>
        <w:t xml:space="preserve">Missing Inertia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kern w:val="2"/>
                <w:sz w:val="20"/>
                <w:szCs w:val="20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(H</m:t>
            </m:r>
          </m:e>
          <m:sub>
            <m:r>
              <w:rPr>
                <w:rFonts w:ascii="Cambria Math" w:eastAsiaTheme="minorEastAsia" w:hAnsi="Cambria Math" w:cstheme="majorBidi"/>
                <w:kern w:val="2"/>
                <w:sz w:val="20"/>
                <w:szCs w:val="20"/>
                <w:lang w:eastAsia="en-US"/>
                <w14:ligatures w14:val="standardContextual"/>
              </w:rPr>
              <m:t>missing</m:t>
            </m:r>
          </m:sub>
        </m:sSub>
        <m:r>
          <w:rPr>
            <w:rFonts w:ascii="Cambria Math" w:eastAsiaTheme="minorEastAsia" w:hAnsi="Cambria Math" w:cstheme="majorBidi"/>
            <w:kern w:val="2"/>
            <w:sz w:val="20"/>
            <w:szCs w:val="20"/>
            <w:lang w:eastAsia="en-US"/>
            <w14:ligatures w14:val="standardContextual"/>
          </w:rPr>
          <m:t>)</m:t>
        </m:r>
      </m:oMath>
      <w:r w:rsidRPr="005C298F">
        <w:rPr>
          <w:kern w:val="2"/>
          <w:sz w:val="20"/>
          <w:szCs w:val="20"/>
          <w:lang w:eastAsia="en-US"/>
          <w14:ligatures w14:val="standardContextual"/>
        </w:rPr>
        <w:t>that the battery must emulate is:</w:t>
      </w:r>
    </w:p>
    <w:p w14:paraId="17A5E421" w14:textId="57159037" w:rsidR="005C298F" w:rsidRPr="003F2A44" w:rsidRDefault="00000000" w:rsidP="005C298F">
      <w:pPr>
        <w:pStyle w:val="NormalWeb"/>
        <w:rPr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kern w:val="2"/>
                  <w:sz w:val="20"/>
                  <w:szCs w:val="20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ajorBidi"/>
                  <w:kern w:val="2"/>
                  <w:sz w:val="20"/>
                  <w:szCs w:val="20"/>
                  <w:lang w:eastAsia="en-US"/>
                  <w14:ligatures w14:val="standardContextual"/>
                </w:rPr>
                <m:t>missing</m:t>
              </m:r>
            </m:sub>
          </m:sSub>
          <m:r>
            <w:rPr>
              <w:rFonts w:ascii="Cambria Math" w:eastAsiaTheme="minorEastAsia" w:hAnsi="Cambria Math" w:cstheme="majorBidi"/>
              <w:kern w:val="2"/>
              <w:sz w:val="20"/>
              <w:szCs w:val="20"/>
              <w:lang w:eastAsia="en-US"/>
              <w14:ligatures w14:val="standardContextual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kern w:val="2"/>
                  <w:sz w:val="20"/>
                  <w:szCs w:val="20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ajorBidi"/>
                  <w:kern w:val="2"/>
                  <w:sz w:val="20"/>
                  <w:szCs w:val="20"/>
                  <w:lang w:eastAsia="en-US"/>
                  <w14:ligatures w14:val="standardContextual"/>
                </w:rPr>
                <m:t>req</m:t>
              </m:r>
            </m:sub>
          </m:sSub>
          <m:r>
            <w:rPr>
              <w:rFonts w:ascii="Cambria Math" w:eastAsiaTheme="minorEastAsia" w:hAnsi="Cambria Math" w:cstheme="majorBidi"/>
              <w:kern w:val="2"/>
              <w:sz w:val="20"/>
              <w:szCs w:val="20"/>
              <w:lang w:eastAsia="en-US"/>
              <w14:ligatures w14:val="standardContextual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kern w:val="2"/>
                  <w:sz w:val="20"/>
                  <w:szCs w:val="20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ajorBidi"/>
                  <w:kern w:val="2"/>
                  <w:sz w:val="20"/>
                  <w:szCs w:val="20"/>
                  <w:lang w:eastAsia="en-US"/>
                  <w14:ligatures w14:val="standardContextual"/>
                </w:rPr>
                <m:t>sys</m:t>
              </m:r>
            </m:sub>
          </m:sSub>
          <m:r>
            <w:rPr>
              <w:rFonts w:ascii="Cambria Math" w:eastAsiaTheme="minorEastAsia" w:hAnsi="Cambria Math" w:cstheme="majorBidi"/>
              <w:kern w:val="2"/>
              <w:sz w:val="20"/>
              <w:szCs w:val="20"/>
              <w:lang w:eastAsia="en-US"/>
              <w14:ligatures w14:val="standardContextual"/>
            </w:rPr>
            <m:t>=7.5s-3.5s=4.0s</m:t>
          </m:r>
        </m:oMath>
      </m:oMathPara>
    </w:p>
    <w:p w14:paraId="75DF3869" w14:textId="1330F4AC" w:rsidR="005C298F" w:rsidRPr="0041607F" w:rsidRDefault="0041607F" w:rsidP="0041607F">
      <w:pPr>
        <w:rPr>
          <w:rFonts w:asciiTheme="majorBidi" w:hAnsiTheme="majorBidi" w:cstheme="majorBidi"/>
          <w:sz w:val="20"/>
          <w:szCs w:val="20"/>
        </w:rPr>
      </w:pPr>
      <w:r w:rsidRPr="0041607F">
        <w:rPr>
          <w:rFonts w:asciiTheme="majorBidi" w:hAnsiTheme="majorBidi" w:cstheme="majorBidi"/>
          <w:sz w:val="20"/>
          <w:szCs w:val="20"/>
        </w:rPr>
        <w:t xml:space="preserve">The Active Power Capacity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(P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BESS</m:t>
            </m:r>
          </m:sub>
        </m:sSub>
        <m:r>
          <w:rPr>
            <w:rFonts w:ascii="Cambria Math" w:eastAsiaTheme="minorEastAsia" w:hAnsi="Cambria Math" w:cstheme="majorBidi"/>
            <w:sz w:val="20"/>
            <w:szCs w:val="20"/>
          </w:rPr>
          <m:t>)</m:t>
        </m:r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Pr="0041607F">
        <w:rPr>
          <w:rFonts w:asciiTheme="majorBidi" w:hAnsiTheme="majorBidi" w:cstheme="majorBidi"/>
          <w:sz w:val="20"/>
          <w:szCs w:val="20"/>
        </w:rPr>
        <w:t>required for the battery is derived from the power deficit needed to arrest the slope:</w:t>
      </w:r>
    </w:p>
    <w:p w14:paraId="581BF6F1" w14:textId="02AD97C2" w:rsidR="005C298F" w:rsidRPr="0041607F" w:rsidRDefault="00000000" w:rsidP="0007060A">
      <w:pPr>
        <w:rPr>
          <w:rFonts w:asciiTheme="majorBidi" w:eastAsiaTheme="minorEastAsia" w:hAnsiTheme="majorBidi" w:cstheme="majorBidi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BESS</m:t>
              </m:r>
            </m:sub>
          </m:sSub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∆P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total</m:t>
              </m:r>
            </m:sub>
          </m:sSub>
          <m:r>
            <w:rPr>
              <w:rFonts w:ascii="Cambria Math" w:eastAsiaTheme="minorEastAsia" w:hAnsi="Cambria Math" w:cstheme="majorBid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∆P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allowed</m:t>
              </m:r>
            </m:sub>
          </m:sSub>
        </m:oMath>
      </m:oMathPara>
    </w:p>
    <w:p w14:paraId="16741890" w14:textId="6C2D51E5" w:rsidR="0041607F" w:rsidRPr="0041607F" w:rsidRDefault="00000000" w:rsidP="0007060A">
      <w:pPr>
        <w:rPr>
          <w:rFonts w:asciiTheme="majorBidi" w:eastAsiaTheme="minorEastAsia" w:hAnsiTheme="majorBidi" w:cstheme="majorBidi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BESS</m:t>
              </m:r>
            </m:sub>
          </m:sSub>
          <m:r>
            <w:rPr>
              <w:rFonts w:ascii="Cambria Math" w:eastAsiaTheme="minorEastAsia" w:hAnsi="Cambria Math" w:cstheme="majorBidi"/>
              <w:sz w:val="20"/>
              <w:szCs w:val="20"/>
            </w:rPr>
            <m:t>≈64MW</m:t>
          </m:r>
        </m:oMath>
      </m:oMathPara>
    </w:p>
    <w:p w14:paraId="2222CF75" w14:textId="7F3DC140" w:rsidR="0041607F" w:rsidRDefault="0041607F" w:rsidP="0041607F">
      <w:pPr>
        <w:pStyle w:val="NormalWeb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VI. CONCLUSION</w:t>
      </w:r>
    </w:p>
    <w:p w14:paraId="4BBC2C31" w14:textId="594B7C35" w:rsidR="0041607F" w:rsidRDefault="0041607F" w:rsidP="0041607F">
      <w:pPr>
        <w:pStyle w:val="NormalWeb"/>
        <w:rPr>
          <w:sz w:val="20"/>
          <w:szCs w:val="20"/>
        </w:rPr>
      </w:pPr>
      <w:r w:rsidRPr="0041607F">
        <w:rPr>
          <w:sz w:val="20"/>
          <w:szCs w:val="20"/>
        </w:rPr>
        <w:t>This study highlights the vulnerability of the Jhampir Wind Corridor to frequency instability due to the displacement of synchronous generation. Our analysis confirms that without auxiliary support, a simultaneous renewable dropout violates grid codes. The integration of a 64 MW BESS providing synthetic inertia is critical for maintaining the reliability of Pakistan's evolving grid.</w:t>
      </w:r>
    </w:p>
    <w:p w14:paraId="6B0838BA" w14:textId="178784CA" w:rsidR="0041607F" w:rsidRDefault="0041607F" w:rsidP="0041607F">
      <w:pPr>
        <w:pStyle w:val="NormalWeb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VII. REFEERENCES</w:t>
      </w:r>
    </w:p>
    <w:p w14:paraId="1E084B90" w14:textId="77777777" w:rsidR="0041607F" w:rsidRPr="0041607F" w:rsidRDefault="0041607F" w:rsidP="0041607F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41607F">
        <w:rPr>
          <w:sz w:val="20"/>
          <w:szCs w:val="20"/>
        </w:rPr>
        <w:t xml:space="preserve">M. H. Baloch et al., "Current scenario of the wind energy in Pakistan challenges and future perspectives: A case study," </w:t>
      </w:r>
      <w:r w:rsidRPr="0041607F">
        <w:rPr>
          <w:i/>
          <w:iCs/>
          <w:sz w:val="20"/>
          <w:szCs w:val="20"/>
        </w:rPr>
        <w:t>Energy Reports</w:t>
      </w:r>
      <w:r w:rsidRPr="0041607F">
        <w:rPr>
          <w:sz w:val="20"/>
          <w:szCs w:val="20"/>
        </w:rPr>
        <w:t>, vol. 2, pp. 201–210, 2016.</w:t>
      </w:r>
    </w:p>
    <w:p w14:paraId="3F4791A7" w14:textId="77777777" w:rsidR="0041607F" w:rsidRPr="0041607F" w:rsidRDefault="0041607F" w:rsidP="0041607F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41607F">
        <w:rPr>
          <w:sz w:val="20"/>
          <w:szCs w:val="20"/>
        </w:rPr>
        <w:t>NTDC, "Grid Code 2023 (Draft)," National Transmission &amp; Dispatch Company, Pakistan, 2023. [Online]. Available: https://nepra.org.pk</w:t>
      </w:r>
    </w:p>
    <w:p w14:paraId="37AB924E" w14:textId="77777777" w:rsidR="0041607F" w:rsidRPr="0041607F" w:rsidRDefault="0041607F" w:rsidP="0041607F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41607F">
        <w:rPr>
          <w:sz w:val="20"/>
          <w:szCs w:val="20"/>
        </w:rPr>
        <w:lastRenderedPageBreak/>
        <w:t xml:space="preserve">A. U. Rehman et al., "Power System Stability With High Penetration of Renewable Energy Sources," </w:t>
      </w:r>
      <w:r w:rsidRPr="0041607F">
        <w:rPr>
          <w:i/>
          <w:iCs/>
          <w:sz w:val="20"/>
          <w:szCs w:val="20"/>
        </w:rPr>
        <w:t>IEEE Access</w:t>
      </w:r>
      <w:r w:rsidRPr="0041607F">
        <w:rPr>
          <w:sz w:val="20"/>
          <w:szCs w:val="20"/>
        </w:rPr>
        <w:t>, vol. 11, pp. 1-15, 2025.</w:t>
      </w:r>
    </w:p>
    <w:p w14:paraId="4C187D9F" w14:textId="77777777" w:rsidR="0041607F" w:rsidRPr="0041607F" w:rsidRDefault="0041607F" w:rsidP="0041607F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41607F">
        <w:rPr>
          <w:sz w:val="20"/>
          <w:szCs w:val="20"/>
        </w:rPr>
        <w:t>NEPRA, "Operating Reserves Policy 2023," National Electric Power Regulatory Authority, Islamabad, Pakistan, 2023.</w:t>
      </w:r>
    </w:p>
    <w:p w14:paraId="5D2F5D30" w14:textId="62981AF2" w:rsidR="0041607F" w:rsidRPr="0041607F" w:rsidRDefault="0041607F" w:rsidP="0041607F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41607F">
        <w:rPr>
          <w:sz w:val="20"/>
          <w:szCs w:val="20"/>
        </w:rPr>
        <w:t>UN-ESCAP, "Review of Climate Ambition in Asia and the Pacific: Weak grid threatens renewable energy transition in Pakistan," United Nations Report, 2025.</w:t>
      </w:r>
    </w:p>
    <w:p w14:paraId="111AAD31" w14:textId="6F106CE7" w:rsidR="003F2A44" w:rsidRPr="00F971E1" w:rsidRDefault="003F2A44" w:rsidP="0041607F">
      <w:pPr>
        <w:pStyle w:val="NormalWeb"/>
        <w:rPr>
          <w:sz w:val="20"/>
          <w:szCs w:val="20"/>
        </w:rPr>
      </w:pPr>
    </w:p>
    <w:sectPr w:rsidR="003F2A44" w:rsidRPr="00F971E1" w:rsidSect="00A631D7">
      <w:type w:val="continuous"/>
      <w:pgSz w:w="11906" w:h="16838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34C"/>
    <w:multiLevelType w:val="hybridMultilevel"/>
    <w:tmpl w:val="B87C1420"/>
    <w:lvl w:ilvl="0" w:tplc="74D0CD6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289C1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2A9D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58EC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64D7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A63E3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9C38C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14EA4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8678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49F3"/>
    <w:multiLevelType w:val="multilevel"/>
    <w:tmpl w:val="2C3E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15D63"/>
    <w:multiLevelType w:val="multilevel"/>
    <w:tmpl w:val="2C3E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C3D31"/>
    <w:multiLevelType w:val="multilevel"/>
    <w:tmpl w:val="72D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B4F3C"/>
    <w:multiLevelType w:val="hybridMultilevel"/>
    <w:tmpl w:val="E0000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278BC"/>
    <w:multiLevelType w:val="hybridMultilevel"/>
    <w:tmpl w:val="DB68ABDA"/>
    <w:lvl w:ilvl="0" w:tplc="CF72C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E167B"/>
    <w:multiLevelType w:val="hybridMultilevel"/>
    <w:tmpl w:val="6AE68B1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B1968"/>
    <w:multiLevelType w:val="hybridMultilevel"/>
    <w:tmpl w:val="DC66DA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27648"/>
    <w:multiLevelType w:val="multilevel"/>
    <w:tmpl w:val="0380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60EA1"/>
    <w:multiLevelType w:val="hybridMultilevel"/>
    <w:tmpl w:val="D1A06E6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A08EA"/>
    <w:multiLevelType w:val="hybridMultilevel"/>
    <w:tmpl w:val="4C4A17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471C5"/>
    <w:multiLevelType w:val="hybridMultilevel"/>
    <w:tmpl w:val="C62AC20A"/>
    <w:lvl w:ilvl="0" w:tplc="CC3CD592">
      <w:start w:val="1"/>
      <w:numFmt w:val="upperLetter"/>
      <w:lvlText w:val="%1."/>
      <w:lvlJc w:val="left"/>
      <w:pPr>
        <w:ind w:left="720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A52B9"/>
    <w:multiLevelType w:val="hybridMultilevel"/>
    <w:tmpl w:val="2FCE605C"/>
    <w:lvl w:ilvl="0" w:tplc="A290EE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75442"/>
    <w:multiLevelType w:val="hybridMultilevel"/>
    <w:tmpl w:val="7466EA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266EC"/>
    <w:multiLevelType w:val="hybridMultilevel"/>
    <w:tmpl w:val="97202D9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E3BD0"/>
    <w:multiLevelType w:val="hybridMultilevel"/>
    <w:tmpl w:val="E8128D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EF3868"/>
    <w:multiLevelType w:val="multilevel"/>
    <w:tmpl w:val="5E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4357B"/>
    <w:multiLevelType w:val="multilevel"/>
    <w:tmpl w:val="D130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F44087"/>
    <w:multiLevelType w:val="hybridMultilevel"/>
    <w:tmpl w:val="3CD41FF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55A43"/>
    <w:multiLevelType w:val="hybridMultilevel"/>
    <w:tmpl w:val="7EC4BD20"/>
    <w:lvl w:ilvl="0" w:tplc="B3401E1C">
      <w:start w:val="1"/>
      <w:numFmt w:val="upperLetter"/>
      <w:lvlText w:val="%1."/>
      <w:lvlJc w:val="left"/>
      <w:pPr>
        <w:ind w:left="720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4F5E53"/>
    <w:multiLevelType w:val="hybridMultilevel"/>
    <w:tmpl w:val="CFAA6A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86370">
    <w:abstractNumId w:val="5"/>
  </w:num>
  <w:num w:numId="2" w16cid:durableId="1028682081">
    <w:abstractNumId w:val="15"/>
  </w:num>
  <w:num w:numId="3" w16cid:durableId="384569249">
    <w:abstractNumId w:val="12"/>
  </w:num>
  <w:num w:numId="4" w16cid:durableId="1320502708">
    <w:abstractNumId w:val="19"/>
  </w:num>
  <w:num w:numId="5" w16cid:durableId="344404874">
    <w:abstractNumId w:val="11"/>
  </w:num>
  <w:num w:numId="6" w16cid:durableId="234946771">
    <w:abstractNumId w:val="17"/>
  </w:num>
  <w:num w:numId="7" w16cid:durableId="2068989826">
    <w:abstractNumId w:val="0"/>
  </w:num>
  <w:num w:numId="8" w16cid:durableId="991445262">
    <w:abstractNumId w:val="4"/>
  </w:num>
  <w:num w:numId="9" w16cid:durableId="1835414533">
    <w:abstractNumId w:val="9"/>
  </w:num>
  <w:num w:numId="10" w16cid:durableId="1580090646">
    <w:abstractNumId w:val="7"/>
  </w:num>
  <w:num w:numId="11" w16cid:durableId="602155275">
    <w:abstractNumId w:val="6"/>
  </w:num>
  <w:num w:numId="12" w16cid:durableId="1016736954">
    <w:abstractNumId w:val="10"/>
  </w:num>
  <w:num w:numId="13" w16cid:durableId="1206217285">
    <w:abstractNumId w:val="18"/>
  </w:num>
  <w:num w:numId="14" w16cid:durableId="1256091953">
    <w:abstractNumId w:val="14"/>
  </w:num>
  <w:num w:numId="15" w16cid:durableId="1492788702">
    <w:abstractNumId w:val="20"/>
  </w:num>
  <w:num w:numId="16" w16cid:durableId="977957199">
    <w:abstractNumId w:val="3"/>
  </w:num>
  <w:num w:numId="17" w16cid:durableId="44256090">
    <w:abstractNumId w:val="2"/>
  </w:num>
  <w:num w:numId="18" w16cid:durableId="1830487501">
    <w:abstractNumId w:val="13"/>
  </w:num>
  <w:num w:numId="19" w16cid:durableId="1063716656">
    <w:abstractNumId w:val="16"/>
  </w:num>
  <w:num w:numId="20" w16cid:durableId="1066876055">
    <w:abstractNumId w:val="8"/>
  </w:num>
  <w:num w:numId="21" w16cid:durableId="791242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6C"/>
    <w:rsid w:val="00026316"/>
    <w:rsid w:val="0007060A"/>
    <w:rsid w:val="00135DD9"/>
    <w:rsid w:val="001D346C"/>
    <w:rsid w:val="001F11AE"/>
    <w:rsid w:val="002065B3"/>
    <w:rsid w:val="00237DBE"/>
    <w:rsid w:val="00253240"/>
    <w:rsid w:val="002D7C68"/>
    <w:rsid w:val="00350C7A"/>
    <w:rsid w:val="003E5D6A"/>
    <w:rsid w:val="003F2A44"/>
    <w:rsid w:val="00414646"/>
    <w:rsid w:val="0041607F"/>
    <w:rsid w:val="0042216C"/>
    <w:rsid w:val="004863D3"/>
    <w:rsid w:val="004B18F1"/>
    <w:rsid w:val="005C298F"/>
    <w:rsid w:val="00612F25"/>
    <w:rsid w:val="00654B7A"/>
    <w:rsid w:val="006B49A5"/>
    <w:rsid w:val="007B7F74"/>
    <w:rsid w:val="007E056D"/>
    <w:rsid w:val="008D1D77"/>
    <w:rsid w:val="00906D27"/>
    <w:rsid w:val="00A00965"/>
    <w:rsid w:val="00A35F41"/>
    <w:rsid w:val="00A631D7"/>
    <w:rsid w:val="00A63997"/>
    <w:rsid w:val="00A84B23"/>
    <w:rsid w:val="00A84D12"/>
    <w:rsid w:val="00C656C5"/>
    <w:rsid w:val="00E91098"/>
    <w:rsid w:val="00EB320D"/>
    <w:rsid w:val="00F9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270B"/>
  <w15:chartTrackingRefBased/>
  <w15:docId w15:val="{B850B3DF-89F0-4A74-A004-6CF9D5B3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3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4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4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00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F2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2ace06@quest.edu.p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F5A41-0C2B-4846-89A5-E353B08E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</dc:creator>
  <cp:keywords/>
  <dc:description/>
  <cp:lastModifiedBy>muhammad huzaifa</cp:lastModifiedBy>
  <cp:revision>28</cp:revision>
  <dcterms:created xsi:type="dcterms:W3CDTF">2026-01-19T18:40:00Z</dcterms:created>
  <dcterms:modified xsi:type="dcterms:W3CDTF">2026-02-09T17:57:00Z</dcterms:modified>
</cp:coreProperties>
</file>