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F5944">
      <w:r>
        <w:rPr>
          <w:b/>
        </w:rPr>
        <w:t>分析目的</w:t>
      </w:r>
      <w:r>
        <w:rPr>
          <w:b/>
        </w:rPr>
        <w:br w:type="textWrapping"/>
      </w:r>
      <w:r>
        <w:t>验证“第4</w:t>
      </w:r>
      <w:r>
        <w:rPr>
          <w:rFonts w:hint="eastAsia" w:eastAsia="宋体"/>
          <w:lang w:val="en-US" w:eastAsia="zh-CN"/>
        </w:rPr>
        <w:t>0</w:t>
      </w:r>
      <w:r>
        <w:t>局及以后下注、后段下注比例、订单数量”三个阈值是否具有统计依据，并确定适合作为风控规则的参数。</w:t>
      </w:r>
      <w:r>
        <w:br w:type="textWrapping"/>
      </w:r>
    </w:p>
    <w:p w14:paraId="7040D5B1">
      <w:pPr>
        <w:pStyle w:val="4"/>
      </w:pPr>
      <w:r>
        <w:t>一、牌靴长度验证</w:t>
      </w:r>
      <w:bookmarkStart w:id="0" w:name="_GoBack"/>
      <w:bookmarkEnd w:id="0"/>
    </w:p>
    <w:p w14:paraId="1D16A2D0">
      <w:r>
        <w:t>平均每靴49.86局；P50=50，P75=52，P90=54，P95=55，P99=58。说明45局以后属于一靴最后约10%的牌局，因此以45局定义“靴尾下注”具有业务合理性。</w:t>
      </w:r>
    </w:p>
    <w:p w14:paraId="165048AA">
      <w:pPr>
        <w:pStyle w:val="4"/>
      </w:pPr>
      <w:r>
        <w:t>二、首次下注位置</w:t>
      </w:r>
    </w:p>
    <w:p w14:paraId="2F23A911">
      <w:r>
        <w:t>玩家平均首次下注主要集中在21~30局，P95≈31.47，P99≈35.04。说明正常玩家并非都从第一局开始下注，因此“首次下注较晚”不能单独作为风险规则。</w:t>
      </w:r>
    </w:p>
    <w:p w14:paraId="013096F2">
      <w:pPr>
        <w:pStyle w:val="4"/>
      </w:pPr>
      <w:r>
        <w:t>三、45局后下注比例分布</w:t>
      </w:r>
    </w:p>
    <w:p w14:paraId="4E4B2AFA">
      <w:r>
        <w:t>Late Ratio分布：P50≈11.2%，P75≈14.9%，P90≈19.5%，P95≈23.1%，P99≈32.9%。正常玩家极少超过33%，因此60%属于极端异常行为。</w:t>
      </w:r>
    </w:p>
    <w:p w14:paraId="3F76B211">
      <w:pPr>
        <w:pStyle w:val="4"/>
      </w:pPr>
      <w:r>
        <w:t>四、参数组合验证</w:t>
      </w:r>
    </w:p>
    <w:p w14:paraId="58020FF9">
      <w:pPr>
        <w:rPr>
          <w:rFonts w:hint="default" w:eastAsia="宋体"/>
          <w:lang w:val="en-US" w:eastAsia="zh-CN"/>
        </w:rPr>
      </w:pPr>
      <w:r>
        <w:t>分别验证35/40/45局、40%/50%/60%/70%、30/50/100单共36组组合。结果表明：局数阈值越高、比例阈值越高，ROI高分位(P90/P95)持续提升；订单数提高可增强统计稳定性，但会减少命中人数。</w:t>
      </w:r>
      <w:r>
        <w:rPr>
          <w:rFonts w:hint="eastAsia" w:eastAsia="宋体"/>
          <w:lang w:val="en-US" w:eastAsia="zh-CN"/>
        </w:rPr>
        <w:t>但是平均roi无明显提高，而且盈利金额都不是很大.</w:t>
      </w:r>
    </w:p>
    <w:p w14:paraId="48A7FF45">
      <w:pPr>
        <w:pStyle w:val="4"/>
      </w:pPr>
      <w:r>
        <w:t>五、最终建议</w:t>
      </w:r>
    </w:p>
    <w:p w14:paraId="1C32458B">
      <w:pPr>
        <w:rPr>
          <w:rFonts w:hint="default" w:eastAsia="宋体"/>
          <w:lang w:val="en-US" w:eastAsia="zh-CN"/>
        </w:rPr>
      </w:pPr>
      <w:r>
        <w:t>建议规则：第4</w:t>
      </w:r>
      <w:r>
        <w:rPr>
          <w:rFonts w:hint="eastAsia" w:eastAsia="宋体"/>
          <w:lang w:val="en-US" w:eastAsia="zh-CN"/>
        </w:rPr>
        <w:t>0</w:t>
      </w:r>
      <w:r>
        <w:t>局及以后下注比例≥60%，且总订单数≥30。该组合兼顾业务合理性、统计稳定性和异常行为识别能力。</w:t>
      </w:r>
      <w:r>
        <w:rPr>
          <w:rFonts w:hint="eastAsia" w:eastAsia="宋体"/>
          <w:lang w:val="en-US" w:eastAsia="zh-CN"/>
        </w:rPr>
        <w:t>如果按照这个风控规则的话，大概有1000多个会员有限制。</w:t>
      </w:r>
    </w:p>
    <w:p w14:paraId="53DCAB47">
      <w:pPr>
        <w:pStyle w:val="4"/>
      </w:pPr>
      <w:r>
        <w:t>六、风控建议</w:t>
      </w:r>
    </w:p>
    <w:p w14:paraId="7D6442C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该规则，用户利用率不明显。可以参考</w:t>
      </w:r>
    </w:p>
    <w:p w14:paraId="39C8190C">
      <w:pPr>
        <w:pStyle w:val="4"/>
      </w:pPr>
      <w:r>
        <w:t>最终结论</w:t>
      </w:r>
    </w:p>
    <w:p w14:paraId="73A5D3FA">
      <w:r>
        <w:t>45局对应靴尾；60%远高于正常玩家分布(P99≈32.9%)；30单保证统计可靠性。建议将“45局后下注比例≥60%且订单数≥30”作为策略性下注风险特征，用于人工审核和风险评分。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8D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525</Words>
  <Characters>708</Characters>
  <Lines>0</Lines>
  <Paragraphs>0</Paragraphs>
  <TotalTime>79</TotalTime>
  <ScaleCrop>false</ScaleCrop>
  <LinksUpToDate>false</LinksUpToDate>
  <CharactersWithSpaces>710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戮默</cp:lastModifiedBy>
  <dcterms:modified xsi:type="dcterms:W3CDTF">2026-07-25T13:46:09Z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eyJoZGlkIjoiMjkxNmVkY2QxZjVjNzk1MGQzOWNkMjRmNDNhY2I0NzUiLCJ1c2VySWQiOiIxODcxMjU4NDkwIn0=</vt:lpwstr>
  </property>
  <property fmtid="{D5CDD505-2E9C-101B-9397-08002B2CF9AE}" pid="3" name="KSOProductBuildVer">
    <vt:lpwstr>2052-12.1.0.26899</vt:lpwstr>
  </property>
  <property fmtid="{D5CDD505-2E9C-101B-9397-08002B2CF9AE}" pid="4" name="ICV">
    <vt:lpwstr>FDAC0AD74AB7454597D02A48DF8AAB5B_12</vt:lpwstr>
  </property>
</Properties>
</file>