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894CB1" w:rsidRPr="00894CB1" w:rsidTr="00894CB1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CB1" w:rsidRPr="00894CB1" w:rsidRDefault="00894CB1" w:rsidP="00894CB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94C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Министерство планирования и инвестиций</w:t>
            </w:r>
            <w:r w:rsidRPr="00894C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CB1" w:rsidRPr="00894CB1" w:rsidRDefault="00894CB1" w:rsidP="00894CB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94C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Социалистическая Республика Вьетнам</w:t>
            </w:r>
            <w:r w:rsidRPr="00894C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Независимость - Свобода - Счастье</w:t>
            </w:r>
            <w:r w:rsidRPr="00894C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---------------</w:t>
            </w:r>
          </w:p>
        </w:tc>
      </w:tr>
      <w:tr w:rsidR="00894CB1" w:rsidRPr="00894CB1" w:rsidTr="00894CB1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CB1" w:rsidRPr="00894CB1" w:rsidRDefault="00894CB1" w:rsidP="00894CB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94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</w:t>
            </w:r>
            <w:proofErr w:type="spellEnd"/>
            <w:r w:rsidRPr="00894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03/2015/TT-BKHDT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CB1" w:rsidRPr="00894CB1" w:rsidRDefault="00894CB1" w:rsidP="00894CB1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94CB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Ханой, 6 мая 2015 г.</w:t>
            </w:r>
          </w:p>
        </w:tc>
      </w:tr>
    </w:tbl>
    <w:p w:rsid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Источник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</w:instrText>
      </w: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>https://thuvienphapluat.vn/van-ban/Dau-tu/Thong-tu-03-2015-TT-BKHDT-lap-ho-so-moi-thau-xay-lap-273527.aspx</w:instrTex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" </w:instrTex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AF3B5F">
        <w:rPr>
          <w:rStyle w:val="a4"/>
          <w:rFonts w:ascii="Arial" w:eastAsia="Times New Roman" w:hAnsi="Arial" w:cs="Arial"/>
          <w:sz w:val="20"/>
          <w:szCs w:val="20"/>
          <w:lang w:eastAsia="ru-RU"/>
        </w:rPr>
        <w:t>https://thuvienphapluat.vn/van-ban/Dau-tu/Thong-tu-03-2015-TT-BKHDT-lap-ho-so-moi-thau-xay-lap-273527.aspx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еще тут </w:t>
      </w:r>
      <w:hyperlink r:id="rId5" w:history="1">
        <w:r w:rsidRPr="00AF3B5F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https://vanban.chinhphu.vn/default.aspx?pageid=27160&amp;docid=179974</w:t>
        </w:r>
      </w:hyperlink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1" w:name="loai_1"/>
      <w:r w:rsidRPr="00894CB1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КРУГОВОЙ</w:t>
      </w:r>
      <w:bookmarkEnd w:id="1"/>
    </w:p>
    <w:p w:rsidR="00894CB1" w:rsidRPr="00894CB1" w:rsidRDefault="00894CB1" w:rsidP="00894CB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2" w:name="loai_1_name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ПОДРОБНЫЕ ПОЛОЖЕНИЯ О СОСТАВЛЕНИИ ДОСЬЕ ПРИГЛАШЕНИЯ НА СТРОИТЕЛЬНО-МОНТАЖНУЮ РАБОТУ</w:t>
      </w:r>
      <w:bookmarkEnd w:id="2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В соответствии с Законом о торгах </w:t>
      </w:r>
      <w:proofErr w:type="spellStart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43/2013/QH13 от 26 ноября 2013 года;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В соответствии с Постановлением Правительства </w:t>
      </w:r>
      <w:proofErr w:type="spellStart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63/2014/ND-CP от 26 июня 2014 года, в котором подробно описана реализация ряда статей Закона о проведении торгов по выбору подрядчика;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В соответствии с Постановлением Правительства </w:t>
      </w:r>
      <w:proofErr w:type="spellStart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116/2008/ND-CP от 14 ноября 2008 года о функциях, задачах, полномочиях и организационной структуре Министерства планирования и инвестиций;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Министр планирования и инвестиций обнародовал циркуляр, в котором подробно описывается подготовка досье приглашения на строительство и монтаж.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3" w:name="dieu_1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1. Объем корректировки</w:t>
      </w:r>
      <w:bookmarkEnd w:id="3"/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Настоящий Циркуляр содержит подробную информацию о составлении досье торгов на строительство и монтаж для тендерных пакетов в рамках корректировки, </w:t>
      </w:r>
      <w:bookmarkStart w:id="4" w:name="dc_21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предусмотренной статьей 1 Закона о торгах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43/2013/QH13</w:t>
      </w:r>
      <w:bookmarkEnd w:id="4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следующим образом: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а) </w:t>
      </w:r>
      <w:bookmarkStart w:id="5" w:name="bieumau_ms_1_01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Форма формы торгов по строительно-монтажной форме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01 (Форма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01)</w:t>
      </w:r>
      <w:bookmarkEnd w:id="5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распространяется на обширный тендерный пакет, ограниченный торгами в стране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способом отбора подрядчиков в один этап из одного пакета досье;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б) </w:t>
      </w:r>
      <w:bookmarkStart w:id="6" w:name="bieumau_ms_1_02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Форма конкурсного досье на строительно-монтажное дело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02 (Форма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02)</w:t>
      </w:r>
      <w:bookmarkEnd w:id="6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распространяется на тендерный пакет широко, ограниченно торги в стране с методом отбора подрядчиков в один этап из двух пакетов досье.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Для строительно-монтажных пакетов, организованных для проведения обширных внутренних торгов (НЦБ) по проектам с использованием капитала официальной помощи в целях развития (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АБР, на вьетнамском языке применяется форма тендерного досье НЦБ, выданная АБР и ВБ.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7" w:name="dieu_2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2. Применимые объекты</w:t>
      </w:r>
      <w:bookmarkEnd w:id="7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Настоящий Циркуляр применяется к организациям и частным лицам, участвующим или связанным с выбором подрядчиков для строительно-монтажных пакетов в рамках корректировки, как это предписано в статье 1 настоящего Циркуляра.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8" w:name="dieu_3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3. Применение форм торгов на строительно-монтажные работы</w:t>
      </w:r>
      <w:bookmarkEnd w:id="8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Формы тендерной документации, изданные вместе с настоящим Циркуляром, построены на основе положений закона Вьетнама о торгах, и ссылаются на правила проведения торгов Азиатского банка развития (АБР), Всемирного банка (ВБ) для создания более благоприятных условий для участия сторон в выборе подрядчиков, дальнейшее повышение конкурентоспособности, справедливости, прозрачности и экономической эффективности торгов.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На строительно-монтажные пакеты с использованием капитала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если они одобрены донорами, они применяются по </w:t>
      </w:r>
      <w:bookmarkStart w:id="9" w:name="bieumau_ms_2_01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форме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01</w:t>
      </w:r>
      <w:bookmarkEnd w:id="9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bookmarkStart w:id="10" w:name="bieumau_ms_2_02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форме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02</w:t>
      </w:r>
      <w:bookmarkEnd w:id="10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изданной вместе с настоящим Циркуляром, либо могут изменять и дополнять некоторые содержания в соответствии с положениями о проведении торгов в международных договорах, Международное соглашение между Вьетнамом и этим донором.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проведения международных торгов, исходя из размера и характера тендерного пакета, организации и физические лица, составляющие тендерные досье, должны внести изменения в положения о языке, валюте, стимулах, времени проведения торгов и другом связанном с ними </w:t>
      </w: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содержании в соответствии с Положениями Закона о торгах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43/2013/QH13, Указ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63/2014/ND-CP.</w:t>
      </w:r>
      <w:proofErr w:type="gramEnd"/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Для мелкомасштабных строительно-монтажных пакетов, исходя из характера тендерного пакета, если инвестор считает необходимым применить метод отбора подрядчиков сроком на срок из двух досье, он должен представить компетентному лицу для утверждения в плане отбора подрядчика и использовать </w:t>
      </w:r>
      <w:bookmarkStart w:id="11" w:name="bieumau_ms_3_02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форму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02</w:t>
      </w:r>
      <w:bookmarkEnd w:id="11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выпущенную вместе с настоящим Циркуляром, для подготовки тендерных досье.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составлении, оценке и утверждении конкурсных досье на строительно-монтажные закупки организации и физические лица обязаны применять </w:t>
      </w:r>
      <w:bookmarkStart w:id="12" w:name="bieumau_ms_6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форму строительно-монтажного досье</w:t>
      </w:r>
      <w:bookmarkEnd w:id="12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выпущенного вместе с настоящим Циркуляром, и, исходя из размера и характера каждого конкретного конкурсного пакета, предъявлять соответствующие требования на основе обеспечения принципа конкуренции, справедливость, прозрачность и экономическая эффективность;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могут быть установлены условия для ограничения участия подрядчика или в пользу одного или нескольких подрядчиков, которые вызывают неравную конкуренцию. Положения, указанные в </w:t>
      </w:r>
      <w:bookmarkStart w:id="13" w:name="bieumau_ms_1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Форме торгов</w:t>
      </w:r>
      <w:bookmarkEnd w:id="13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 поручениям подрядчика и общим условиям контрактов, не могут быть изменены; для другого содержимого, которое может быть отредактировано в соответствии с размером и характером пакета ставок.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случае внесения изменений в положения, указанные в </w:t>
      </w:r>
      <w:bookmarkStart w:id="14" w:name="bieumau_ms_2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Форме тендерного досье</w:t>
      </w:r>
      <w:bookmarkEnd w:id="14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организации и физические лица, составляющие, оценивающие и утверждающие тендерные досье, должны обеспечить, чтобы такие изменения были надлежащими, научными и строгими, чем положения, </w:t>
      </w:r>
      <w:bookmarkStart w:id="15" w:name="bieumau_ms_3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изложенные в форме тендерного досье</w:t>
      </w:r>
      <w:bookmarkEnd w:id="15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не противоречили положениям закона о торгах.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заявке на утверждение тендерного досье содержание изменений должно быть четко указано в сравнении с </w:t>
      </w:r>
      <w:bookmarkStart w:id="16" w:name="bieumau_ms_4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положениями в форме тендерного досье</w:t>
      </w:r>
      <w:bookmarkEnd w:id="16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причинами редактирования, которые инвестор должен рассмотреть и решить.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 Для пакетов предоставления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неконсультативных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услуг, исходя из размера и характера тендерных пакетов, </w:t>
      </w:r>
      <w:bookmarkStart w:id="17" w:name="bieumau_ms_5_hsm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вышеуказанные формы досье торгов могут быть скорректированы</w:t>
      </w:r>
      <w:bookmarkEnd w:id="17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применения соответствующим образом.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18" w:name="dieu_4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4. Применимые правила о налогах, сборах и сборах</w:t>
      </w:r>
      <w:bookmarkEnd w:id="18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Цена предложения подрядчика должна включать все расходы, необходимые для реализации тендерного пакета, включая налоги, сборы и сборы (при наличии). Налоги, сборы и сборы взимаются в соответствии с установленными налоговыми ставками, сборами и сборами в течение 28 дней до даты оплаты предложения.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При участии в торгах исполнитель несет ответственность за понимание, расчет и предложение всех налогов, сборов и сборов (при наличии) в цене заявки. В случае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в заявке не упоминаются налоги, сборы и сборы, цена предложения подрядчика считается полностью включающей налоги, сборы и сборы; в этом случае, если подрядчик выигрывает тендер, получает контракт, он берет на себя всю ответственность и выполняет свои обязательства по налогам, сборам и сборам (если таковые имеются) перед государством. В случае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в тендерном досье участник торгов заявляет, что цена предложения не включает налоги, сборы и сборы (если таковые имеются), предложение подрядчика будет дисквалифицировано.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19" w:name="dieu_5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5. Расходы на строительство, общие статьи расходов и непредвиденные расходы</w:t>
      </w:r>
      <w:bookmarkEnd w:id="19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Цена предложения должна включать в себя затраты на строительство, общие затраты на предмет и непредвиденные расходы.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Непредвиденные расходы включают: непредвиденные расходы на проскальзывание, расходы на оптовые резервы и непредвиденные расходы на предварительные платежи (если таковые имеются).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 непредвиденных расходов должно соответствовать положениям специализированных законов об управлении расходами на строительство и особенностям закупок. Инвестор должен на основе размера, характера, времени и места закупки и других связанных с этим факторов принять решение об использовании непредвиденных расходов, но должен обеспечить соблюдение положений специализированных законов об управлении затратами на строительство.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Для пакетных контрактов подрядчики должны рассчитать и распределить непредвиденные расходы в цене предложения; не разделяют запасные расходы, которые подрядчик выделил в цене предложения для рассмотрения и оценки в процессе оценки заявки на финансирование и торговлю.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Для контрактов с фиксированной ценой и скорректированных контрактов на единицу продукции при оценке финансовых и коммерческих предложений непредвиденные расходы не будут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учитываться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оцениваться для сравнения и рейтинга подрядчиков. Непредвиденные расходы будут переопределены в ходе переговоров по контракту. Цена выигравшего предложения и цена контракта должны включать непредвиденные расходы; эта часть непредвиденных расходов управляется инвестором и используется только для оплаты подрядчику, как это предписано в контракте, когда это происходит.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тендерном досье должно быть четко указано содержание и принципы использования непредвиденных расходов в качестве основы для участия подрядчиков в торгах, подписании и исполнении контрактов, в которых конкретная стоимость в деньгах или процент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(%) 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непредвиденных расходов рассчитываются на строительство тендерного пакета для подрядчика для участия в торгах. Подрядчик должен предложить непредвиденные расходы в соответствии с требованиями тендерного досье.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20" w:name="dieu_6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6. Контракт</w:t>
      </w:r>
      <w:bookmarkEnd w:id="20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Тендерное досье должно содержать форму контракта и детализировать условия и пункты контракта, чтобы подрядчик был основой для торгов, а стороны выступали в качестве основы для переговоров, доработки и подписания контрактов.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Контракты, заключаемые между инвесторами и адвокатом и подрядчиками, должны соответствовать форме контракта и условиям контракта, указанным в тендерном досье, а также корректировкам и дополнениям, предложенным и утвержденным инвестором в ходе переговорного процесса, завершить контракт, но убедиться, что он не соответствует положениям закона о торгах и другим соответствующим положениям закона.</w:t>
      </w:r>
    </w:p>
    <w:p w:rsidR="00894CB1" w:rsidRPr="00894CB1" w:rsidRDefault="00894CB1" w:rsidP="00894CB1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21" w:name="dieu_7"/>
      <w:r w:rsidRPr="00894C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Статья 7. Организация внедрения</w:t>
      </w:r>
      <w:bookmarkEnd w:id="21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Настоящий Циркуляр вступает в силу с 1 июля 2015 года.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Настоящий Циркуляр заменяет Циркуляр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01/2010/TT-BKH от 6 января 2010 года Министерства планирования и инвестиций, в котором подробно описывается подготовка тендерных досье на строительство и монтаж, циркуляр </w:t>
      </w:r>
      <w:proofErr w:type="spell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02/2010/TT-BKH от 19 января 2010 года Министерства планирования и инвестиций, в котором подробно описывается подготовка тендерных досье для мелкомасштабных строительно-монтажных закупок.</w:t>
      </w:r>
      <w:proofErr w:type="gramEnd"/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За осуществление настоящего Циркуляра несут ответственность министерства, ведомства на уровне министров, связанные с правительством учреждения, другие центральные учреждения, народные комитеты всех уровней и соответствующие </w:t>
      </w:r>
      <w:proofErr w:type="gramStart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организации</w:t>
      </w:r>
      <w:proofErr w:type="gramEnd"/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отдельные лица. В процессе осуществления, если возникают проблемы, просить министерства, ведомства на уровне министров, правительственные учреждения, другие центральные учреждения, народные комитеты всех уровней и соответствующие организации и отдельных лиц направлять замечания в министерство планирования и инвестиций для своевременного руководства.</w:t>
      </w:r>
    </w:p>
    <w:p w:rsidR="00894CB1" w:rsidRPr="00894CB1" w:rsidRDefault="00894CB1" w:rsidP="00894CB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94C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</w:tblGrid>
      <w:tr w:rsidR="00894CB1" w:rsidRPr="00894CB1" w:rsidTr="00894CB1">
        <w:trPr>
          <w:tblCellSpacing w:w="0" w:type="dxa"/>
        </w:trPr>
        <w:tc>
          <w:tcPr>
            <w:tcW w:w="5070" w:type="dxa"/>
            <w:shd w:val="clear" w:color="auto" w:fill="FFFFFF"/>
            <w:hideMark/>
          </w:tcPr>
          <w:p w:rsidR="00894CB1" w:rsidRPr="00894CB1" w:rsidRDefault="00894CB1" w:rsidP="00894CB1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94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94CB1" w:rsidRPr="00894CB1" w:rsidRDefault="00894CB1" w:rsidP="00894CB1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94C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Место поступления:</w:t>
            </w:r>
            <w:r w:rsidRPr="00894CB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 министерства, ведомства министерского уровня, органы КП;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Центральный комитет по борьбе с коррупцией;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Народные Советы, Народные комитеты губерний и городов при Центральном Комитете;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Центральные канцелярии и партийные комитеты;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Канцелярия Президента;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Совет по делам национальностей и комитеты Национального Собрания;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Аппарат Национального Собрания;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Аппарат Правительства;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Верховный народный суд;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Верховная народная прокуратура;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государственный аудит;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центральные органы профсоюзов;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Правительственный портал; Уведомление;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Азиатский банк развития во Вьетнаме;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Всемирный банк во Вьетнаме;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Департаменты науки и техники провинций и городов при TW;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- подразделения при Министерстве планирования и инвестиций;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- Департамент проверки документов - Министерство юстиции;</w:t>
            </w:r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 xml:space="preserve">- </w:t>
            </w:r>
            <w:proofErr w:type="spellStart"/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Save</w:t>
            </w:r>
            <w:proofErr w:type="spellEnd"/>
            <w:r w:rsidRPr="00894C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 VT, Министерство труда и труда (HC)</w:t>
            </w:r>
          </w:p>
        </w:tc>
      </w:tr>
    </w:tbl>
    <w:p w:rsidR="00DC153C" w:rsidRDefault="00DC153C"/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B1"/>
    <w:rsid w:val="00833036"/>
    <w:rsid w:val="00894CB1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4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4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nban.chinhphu.vn/default.aspx?pageid=27160&amp;docid=1799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2022-02-09T11:25:00Z</dcterms:created>
  <dcterms:modified xsi:type="dcterms:W3CDTF">2022-02-09T11:26:00Z</dcterms:modified>
</cp:coreProperties>
</file>