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10" w:rsidRPr="00367510" w:rsidRDefault="00367510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r w:rsidRPr="00367510">
        <w:rPr>
          <w:rFonts w:ascii="Arial" w:eastAsia="Times New Roman" w:hAnsi="Arial" w:cs="Arial"/>
          <w:color w:val="202020"/>
          <w:sz w:val="26"/>
          <w:szCs w:val="26"/>
          <w:lang w:eastAsia="ru-RU"/>
        </w:rPr>
        <w:fldChar w:fldCharType="begin"/>
      </w:r>
      <w:r w:rsidRPr="00367510">
        <w:rPr>
          <w:rFonts w:ascii="Arial" w:eastAsia="Times New Roman" w:hAnsi="Arial" w:cs="Arial"/>
          <w:color w:val="202020"/>
          <w:sz w:val="26"/>
          <w:szCs w:val="26"/>
          <w:lang w:eastAsia="ru-RU"/>
        </w:rPr>
        <w:instrText xml:space="preserve"> HYPERLINK "https://pgdv.ru/blog/tendery-poisk" \l "Synapsenet" </w:instrText>
      </w:r>
      <w:r w:rsidRPr="00367510">
        <w:rPr>
          <w:rFonts w:ascii="Arial" w:eastAsia="Times New Roman" w:hAnsi="Arial" w:cs="Arial"/>
          <w:color w:val="202020"/>
          <w:sz w:val="26"/>
          <w:szCs w:val="26"/>
          <w:lang w:eastAsia="ru-RU"/>
        </w:rPr>
        <w:fldChar w:fldCharType="separate"/>
      </w:r>
      <w:r w:rsidRPr="00367510">
        <w:rPr>
          <w:rFonts w:ascii="Arial" w:eastAsia="Times New Roman" w:hAnsi="Arial" w:cs="Arial"/>
          <w:color w:val="254097"/>
          <w:sz w:val="26"/>
          <w:szCs w:val="26"/>
          <w:u w:val="single"/>
          <w:bdr w:val="none" w:sz="0" w:space="0" w:color="auto" w:frame="1"/>
          <w:lang w:eastAsia="ru-RU"/>
        </w:rPr>
        <w:t xml:space="preserve">2. </w:t>
      </w:r>
      <w:proofErr w:type="spellStart"/>
      <w:r w:rsidRPr="00367510">
        <w:rPr>
          <w:rFonts w:ascii="Arial" w:eastAsia="Times New Roman" w:hAnsi="Arial" w:cs="Arial"/>
          <w:color w:val="254097"/>
          <w:sz w:val="26"/>
          <w:szCs w:val="26"/>
          <w:u w:val="single"/>
          <w:bdr w:val="none" w:sz="0" w:space="0" w:color="auto" w:frame="1"/>
          <w:lang w:eastAsia="ru-RU"/>
        </w:rPr>
        <w:t>Synapsenet</w:t>
      </w:r>
      <w:proofErr w:type="spellEnd"/>
      <w:r w:rsidRPr="00367510">
        <w:rPr>
          <w:rFonts w:ascii="Arial" w:eastAsia="Times New Roman" w:hAnsi="Arial" w:cs="Arial"/>
          <w:color w:val="202020"/>
          <w:sz w:val="26"/>
          <w:szCs w:val="26"/>
          <w:lang w:eastAsia="ru-RU"/>
        </w:rPr>
        <w:fldChar w:fldCharType="end"/>
      </w:r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6" w:anchor="Zakupli360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3. Zakupli360</w:t>
        </w:r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7" w:anchor="StarPro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4.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StarPro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8" w:anchor="Bicotend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5.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Bicotender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9" w:anchor="Findtenders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6.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Findtenders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0" w:anchor="SBIS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7. SBIS Тендеры</w:t>
        </w:r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1" w:anchor="MyTend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8. </w:t>
        </w:r>
        <w:proofErr w:type="spellStart"/>
        <w:r w:rsidR="00367510" w:rsidRPr="00430883">
          <w:rPr>
            <w:rFonts w:ascii="Arial" w:eastAsia="Times New Roman" w:hAnsi="Arial" w:cs="Arial"/>
            <w:color w:val="254097"/>
            <w:sz w:val="26"/>
            <w:szCs w:val="26"/>
            <w:highlight w:val="yellow"/>
            <w:u w:val="single"/>
            <w:bdr w:val="none" w:sz="0" w:space="0" w:color="auto" w:frame="1"/>
            <w:lang w:eastAsia="ru-RU"/>
          </w:rPr>
          <w:t>MyTender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2" w:anchor="ZakupkiTend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9.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Zakupki</w:t>
        </w:r>
        <w:proofErr w:type="spellEnd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3" w:anchor="MeSeldon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10.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MeSeldon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4" w:anchor="Rostend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11.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Rostender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5" w:anchor="Tenderguru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12.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Tenderguru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6" w:anchor="Tenderplan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13.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Tenderplan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7" w:anchor="isZakupki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14.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isZakupki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8" w:anchor="Tenderland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15.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Tenderland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19" w:anchor="ContractCent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16.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Contract</w:t>
        </w:r>
        <w:proofErr w:type="spellEnd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Center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0" w:anchor="Tenmon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17.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Tenmon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1" w:anchor="Garantexpress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18.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Garantexpress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2" w:anchor="IstBudget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19.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IstBudget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3" w:anchor="TenderWin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20.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TenderWin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4" w:anchor="TenderMedia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21.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TenderMedia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5" w:anchor="Metatender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22.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Metatender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6" w:anchor="iTenders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23.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iTenders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7" w:anchor="PoiskTenderov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24.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PoiskTenderov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8" w:anchor="Awindex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25.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Awindex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29" w:anchor="ZakupkiInitpro" w:history="1">
        <w:r w:rsidR="00367510" w:rsidRPr="00367510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26. </w:t>
        </w:r>
        <w:proofErr w:type="spellStart"/>
        <w:r w:rsidR="00367510" w:rsidRPr="00367510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Zakupki</w:t>
        </w:r>
        <w:proofErr w:type="spellEnd"/>
        <w:r w:rsidR="00367510" w:rsidRPr="00367510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367510" w:rsidRPr="00367510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Initpro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30" w:anchor="Gostenders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27.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Gostenders</w:t>
        </w:r>
        <w:proofErr w:type="spellEnd"/>
      </w:hyperlink>
    </w:p>
    <w:p w:rsidR="00367510" w:rsidRPr="00367510" w:rsidRDefault="00DB1E5A" w:rsidP="00367510">
      <w:pPr>
        <w:numPr>
          <w:ilvl w:val="0"/>
          <w:numId w:val="1"/>
        </w:numPr>
        <w:spacing w:after="0" w:line="240" w:lineRule="auto"/>
        <w:ind w:left="240"/>
        <w:rPr>
          <w:rFonts w:ascii="Arial" w:eastAsia="Times New Roman" w:hAnsi="Arial" w:cs="Arial"/>
          <w:color w:val="202020"/>
          <w:sz w:val="26"/>
          <w:szCs w:val="26"/>
          <w:lang w:eastAsia="ru-RU"/>
        </w:rPr>
      </w:pPr>
      <w:hyperlink r:id="rId31" w:anchor="ProMyseldon" w:history="1"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28. </w:t>
        </w:r>
        <w:proofErr w:type="spellStart"/>
        <w:r w:rsidR="00367510" w:rsidRPr="00367510">
          <w:rPr>
            <w:rFonts w:ascii="Arial" w:eastAsia="Times New Roman" w:hAnsi="Arial" w:cs="Arial"/>
            <w:color w:val="254097"/>
            <w:sz w:val="26"/>
            <w:szCs w:val="26"/>
            <w:u w:val="single"/>
            <w:bdr w:val="none" w:sz="0" w:space="0" w:color="auto" w:frame="1"/>
            <w:lang w:eastAsia="ru-RU"/>
          </w:rPr>
          <w:t>ProMyseldon</w:t>
        </w:r>
        <w:proofErr w:type="spellEnd"/>
      </w:hyperlink>
    </w:p>
    <w:p w:rsidR="00DC153C" w:rsidRDefault="00DC153C">
      <w:pPr>
        <w:rPr>
          <w:lang w:val="en-US"/>
        </w:rPr>
      </w:pPr>
    </w:p>
    <w:p w:rsidR="00367510" w:rsidRDefault="00367510">
      <w:pPr>
        <w:rPr>
          <w:lang w:val="en-US"/>
        </w:rPr>
      </w:pPr>
    </w:p>
    <w:p w:rsidR="00367510" w:rsidRPr="00367510" w:rsidRDefault="00367510" w:rsidP="00367510">
      <w:p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писок федеральных площадок по 44-ФЗ: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2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Сбербанк-АСТ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популярный оператор торгов, партнёром которого являются крупнейшие удостоверяющие центры по выдаче сертификатов ЭЦП.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3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Национальная электронная площадка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портал, позволяющий проводить закупки для осуществления капремонта многоквартирных домов и торги по приватизации госимущества.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4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РТС-тендер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на этой платформе реализуются торги в соответствии с законами № 44-ФЗ и № 223-ФЗ.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5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АГЗРТ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специализируется на закупках в рамках № 44-ФЗ, имеется дополнительная секция для закупок по № 223-ФЗ.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6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АО «Единая электронная торговая площадка»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ресурс с учебным центром, эффективной системой IT-безопасности и финансовыми сервисами (факторинг и проч.).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7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Система электронных торгов АО «Российский аукционный дом»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универсальная платформа, специализирующаяся на осуществлении классических и </w:t>
      </w:r>
      <w:proofErr w:type="gram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интернет-аукционов</w:t>
      </w:r>
      <w:proofErr w:type="gram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связанных с продажей имущества в РФ.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8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ЭТП ГПБ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торговая площадка Газпромбанка, интегрированная с его банковскими сервисами.</w:t>
      </w:r>
    </w:p>
    <w:p w:rsidR="00367510" w:rsidRPr="00367510" w:rsidRDefault="00DB1E5A" w:rsidP="0036751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39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ТЭК-Торг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деятельность ЭТП в первую очередь ориентирована на крупные компании топливно-энергетического комплекса России и компании с государственным участием.</w:t>
      </w:r>
    </w:p>
    <w:p w:rsidR="00367510" w:rsidRPr="00367510" w:rsidRDefault="00367510" w:rsidP="00367510">
      <w:p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Список федеральных площадок по 223-ФЗ госкомпаний: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Сбербанк-АСТ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http://newformat.sberbank-ast.ru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Сбербанк-АСТ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http://zakupki.sbrf.sberbank-ast.ru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Сбербанк-АСТ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https://utp.sberbank-ast.ru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ЕЭТП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Роселторг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https://com.roseltorg.ru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ЕЭТП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Роселторг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ЗаказРФ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(АГЗРТ)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http://223.agzrt.ru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ЗаказРФ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(АГЗРТ)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http://223etp.zakazrf.ru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РТС-тендер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https://223.rts-tender.ru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НЭП Национальная электронная площадка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http://223.etp-ets.ru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РАД Российский аукционный дом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http://trade.lot-online.ru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ТЭК-Торг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https://www.tektorg.ru/223-fz/procedures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ЭТП ГПБ Группа Газпромбанка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https://etp.gpb.ru/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ЭТП ГПБ Закупки Газпрома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https://etpgaz.gazprombank.ru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ЕЭТП ВТБ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https://vtb.roseltorg.ru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ЕЭТП Почта России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https://russianpost.roseltorg.ru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ЕЭТП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Росгеология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https://rosgeo.roseltorg.ru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ЕЭТП Ростелеком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https://rt.roseltorg.ru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ЕЭТП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Ростех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https://opk.roseltorg.ru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ЕЭТП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РусГидро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https://rushydro.roseltorg.ru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ЕЭТП ФСК ЕЭС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https://fsk.roseltorg.ru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Газпром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https://zakupki.gazprom.ru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Аэрофлот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https://trade.aeroflot.ru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РЖД Российские железные дороги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http://etzp.rzd.ru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B2B-Center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http://www.b2b-center.ru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B2B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Башнефть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http://www.b2b-bashneft.ru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РАО Энергетические системы Востока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http://www.b2b-esv.ru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Генерирующая компания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http://www.b2b-gencom.ru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</w:t>
      </w:r>
      <w:proofErr w:type="gram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Т</w:t>
      </w:r>
      <w:proofErr w:type="gram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Плюс IES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http://www.tender.ies-holding.com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ИНТЕР РАО ЕЭС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http://www.b2b-interrao.ru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Иркутскэнерго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http://www.b2b-irkutskenergo.ru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Корпорация Тактическое ракетное вооружение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http://www.b2b-ktrv.ru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Мечел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http://www.b2b-mechel.ru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Московская объединенная электросетевая компания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http://www.b2b-moesk.ru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B2B MRSK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Россети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http://www.b2b-mrsk.ru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ОАК Объединенная авиастроительная корпорация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http://www.b2b-oak.ru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B2B ОДК Объединенная двигателестроительная </w:t>
      </w:r>
      <w:proofErr w:type="spellStart"/>
      <w:proofErr w:type="gram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корп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-я</w:t>
      </w:r>
      <w:proofErr w:type="gram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http://www.b2b-odk.ru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B2B-Rusnano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Роснано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http://www.b2b-rusnano.ru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СО ЕЭС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http://www.b2b-so.ru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Уралвагонзавод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http://www.b2b-uvz.ru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Водоканал Санкт-Петербурга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http://www.b2b-vodokanalspb.ru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 Вертолеты России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http://www.b2b-vr.ru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B2B-Авиа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http://www.b2b-avia.ru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B2B-ОРКК Объединенная ракетно-космическая корпорация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http://www.b2b-orkk.ru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B2B-РАВВ Российская ассоциация водоснабжения и водоотведения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http://www.b2b-aqua.ru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B2B-РОСОЭЗ Особые экономические зоны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http://www.b2b-russez.ru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B2B-Энерго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https://www.b2b-energo.ru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Автодор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https://tenders.etp-avtodor.ru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Алроса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http://zakupki.alrosa.ru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ОТС-АГРО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https://agro.otc.ru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ОТС Общая секция, Ростелеком и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Аэрокосмос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https://tender.otc.ru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ОТС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МинСвязь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https://rts223.otc.ru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Россети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https://etp.rosseti.ru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Фабрикант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https://www.fabrikant.ru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B2B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Сибур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http://b2b.sibur.ru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BashZakaz.ru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http://etp.bashzakaz.ru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KARTOTEKA.ru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http://utp.kartoteka.ru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Sakhaeltorg.ru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http://etp.sakhaeltorg.ru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SETonline.ru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http://etp.setonline.ru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Tender.Pro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http://www.tender.pro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Аукционный Конкурсный Дом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http://www.a-k-d.ru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ELECTRO-TORGI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http://zakupki.electro-torgi.ru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ELTorg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http://zakupki223.eltorg.org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ESTP.ru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https://estp.ru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ETPRF.ru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http://etprf.ru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ETPRF.ru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http://web.etprf.ru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ONLINECONTRACT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http://www.onlinecontract.ru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RB2B.RU Закупочные и маркетинговые системы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http://rb2b.ru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REGION-AST Региональная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автоматиз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 система торгов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http://region-ast.center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VladZakupki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http://etp.vladzakupki.ru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Zakupki21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http://zakupki21.ru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Асгор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Закупочные и маркетинговые системы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http://etp.asgor.su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Аукцион-центр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http://com.aukcioncenter.ru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Байкал-Тендер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http://etp.baikal-tender.ru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Биржа Санкт-Петербурга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https://torgi.spbex.ru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Биржа Санкт-Петербурга,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Транснефть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https://etp.spbex.ru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Верхневолжский торговый союз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http://npovts.ru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ГазНефтеторг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http://www.gazneftetorg.ru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Дальневосточная энергетическая управляющая компания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http://etp.dveuk.ru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Закупки 223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http://zakupki223.com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Закупки</w:t>
      </w:r>
      <w:proofErr w:type="gram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.р</w:t>
      </w:r>
      <w:proofErr w:type="gram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у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http://www.zakupki.ru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Крымская ЭТП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http://etp.torgi82.ru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КФУ Казанский федеральный университет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http://etp.kpfu.ru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ЛотЭксперт</w:t>
      </w:r>
      <w:proofErr w:type="gram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.Р</w:t>
      </w:r>
      <w:proofErr w:type="gram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Ф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http://lotexpert.ru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ЛотЭксперт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АМС-Сервис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http://ams.lotexpert.ru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НижТорг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http://etpnt.ru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Оборонторг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http://www.oborontorg.ru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Объединенная ЭТП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http://oetprf.ru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Открытая ЭТП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http://oetp.ru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РТРС Российская телевизионная и радиовещательная сеть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https://trade.rtrn.ru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СВФУ Северо-Восточный федеральный университет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http://etp.s-vfu.ru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Сетевая компания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http://etp.gridcom-rt.ru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Спецстройторг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https://www.sstorg.ru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Татнефть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http://www.etp.tatneft.ru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Таттехмедфарм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https://etpttmf.ru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Организационно-правовой центр Тендер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http://www.etp-tender.ru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ТЗС Электра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http://tzselektra.ru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Торги 223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http://torgi223.ru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Центр проведения торгов и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энергоэффективности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https://k-tender.ru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Центр развития закупок РТ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https://etpzakupki.tatar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Электронные аукционы Сибири Электронные аукционы Сибири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http://ea.omskzakaz.ru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Электронный капитал Электронный капитал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http://eksystems.ru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Элтокс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Элтокс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https://eltox.ru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ЭТП 223 ЭТП 223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http://etp223.ru</w:t>
      </w:r>
    </w:p>
    <w:p w:rsidR="00367510" w:rsidRPr="00367510" w:rsidRDefault="00367510" w:rsidP="0036751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ЭТП</w:t>
      </w: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eRUS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 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— http://www.erus.ru</w:t>
      </w:r>
    </w:p>
    <w:p w:rsidR="00367510" w:rsidRPr="00367510" w:rsidRDefault="00367510" w:rsidP="00367510">
      <w:pPr>
        <w:shd w:val="clear" w:color="auto" w:fill="FFFFFF"/>
        <w:spacing w:after="0" w:line="54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Коммерческие</w:t>
      </w:r>
    </w:p>
    <w:p w:rsidR="00367510" w:rsidRPr="00367510" w:rsidRDefault="00367510" w:rsidP="0036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367510" w:rsidRPr="00367510" w:rsidRDefault="00367510" w:rsidP="0036751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Условия участия в торгах на подобных платформах определяются компанией организатором в соответствии с ГК РФ и Федеральным законом «О защите конкуренции» от 26.07.2006 № 135-ФЗ. Как правило, такие платформы являются региональными или отраслевыми, плата с заказчиков взимается за размещение тендеров, а с поставщиков – за возможность принять участие в закупке. Довольно часто на 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коммерческих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ЭТП реализуются закупки, связанные с банкротством.</w:t>
      </w:r>
    </w:p>
    <w:p w:rsidR="00367510" w:rsidRPr="00367510" w:rsidRDefault="00367510" w:rsidP="00367510">
      <w:p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Топ коммерческих площадок: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0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B2B-Center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система электронных торгов, предназначенная для корпоративных закупок и продаж продукции и услуг из разных отраслей экономики.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1" w:history="1">
        <w:proofErr w:type="spellStart"/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Lot-online</w:t>
        </w:r>
        <w:proofErr w:type="spellEnd"/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всероссийская универсальная торговая площадка, позволяющая организаторам закупок выбирать их различные модификации, проводить </w:t>
      </w:r>
      <w:proofErr w:type="spell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однолотовые</w:t>
      </w:r>
      <w:proofErr w:type="spell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многолотовые</w:t>
      </w:r>
      <w:proofErr w:type="spell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процедуры с предварительной квалификацией и без неё.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2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ОАО «ЕЭТП»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федеральный оператор электронных торгов с представительствами в 95 городах России, учебным и удостоверяющим центром.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3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ЭТП OTC-</w:t>
        </w:r>
        <w:proofErr w:type="spellStart"/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tender</w:t>
        </w:r>
        <w:proofErr w:type="spellEnd"/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оператор электронных торгов, который обладает 28 представительствами на территории РФ и предназначен для осуществления закупок товаров, работ и услуг в соответствии с законом №223-ФЗ и закупок в корпоративном секторе.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4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ЗАО «Сбербанк-АСТ» (УТП)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универсальная платформа, которая объединяет несколько торговых секций в единую экосистему и предназначена для государственных и корпоративных закупок, торгов по аренде и продаже имущества.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5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SETonline.ru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многофункциональная система торгов, которая позволяет проводить весь спектр торгово-закупочных процедур B2B-сферы в электронной форме.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6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НЭП-Фабрикант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федеральная электронная торговая площадка, которая специализируется на проведении государственных и муниципальных закупок, а также обладает удобным конструктором для настройки закупочных процедур с учётом интересов заказчика.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7" w:history="1">
        <w:proofErr w:type="spellStart"/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Газнефтеторг</w:t>
        </w:r>
        <w:proofErr w:type="gramStart"/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.р</w:t>
        </w:r>
        <w:proofErr w:type="gramEnd"/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у</w:t>
        </w:r>
        <w:proofErr w:type="spellEnd"/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торговая система, которая позволяет проводить полный комплекс конкурентных торгово-закупочных процедур, связанных с продажей и покупкой товаров, работ и услуг в рамках корпоративных закупок компаний.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8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ЭТП ОАО «РЖД»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автоматизированная информационная система, оптимизирующая процесс закупок и проводящая процедуры, которые связаны с распоряжением недвижимым имуществом ОАО «РЖД».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9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Аукционный конкурсный дом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тендерная многофункциональная площадка, предназначенная для поставщиков и заказчиков различных форм собственности и снабжённая адаптированным кабинетом пользователя под </w:t>
      </w:r>
      <w:proofErr w:type="gram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индивидуальные проекты</w:t>
      </w:r>
      <w:proofErr w:type="gram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0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ONLINECONTRACT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площадка, позволяющая проводить закупку товаров и услуг, приобретать нефтепродукты, покупать либо продавать автомобили, технику и прочие активы.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1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ETPRF</w:t>
        </w:r>
      </w:hyperlink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официальная площадка «</w:t>
      </w:r>
      <w:proofErr w:type="spell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Ростех</w:t>
      </w:r>
      <w:proofErr w:type="spell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и «</w:t>
      </w:r>
      <w:proofErr w:type="spellStart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Транснефть</w:t>
      </w:r>
      <w:proofErr w:type="spellEnd"/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», главной целью которой является удовлетворение общественных потребностей юридических и физических лиц в работах, товарах и услугах.</w:t>
      </w:r>
    </w:p>
    <w:p w:rsidR="00367510" w:rsidRPr="00367510" w:rsidRDefault="00DB1E5A" w:rsidP="0036751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2" w:history="1">
        <w:r w:rsidR="00367510" w:rsidRPr="00367510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ЭТП «Торги 223»</w:t>
        </w:r>
      </w:hyperlink>
      <w:r w:rsidR="00367510"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="00367510"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площадка с готовыми техническими решениями, функционал которой позволяет проводить закупочные процедуры и заключать договоры в рамках закона №223-ФЗ.</w:t>
      </w:r>
    </w:p>
    <w:p w:rsidR="00367510" w:rsidRPr="00367510" w:rsidRDefault="00367510" w:rsidP="00367510">
      <w:pPr>
        <w:shd w:val="clear" w:color="auto" w:fill="FFFFFF"/>
        <w:spacing w:after="0" w:line="54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Агрегаторы</w:t>
      </w:r>
      <w:proofErr w:type="spellEnd"/>
    </w:p>
    <w:p w:rsidR="00367510" w:rsidRPr="00367510" w:rsidRDefault="00367510" w:rsidP="0036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367510" w:rsidRPr="00367510" w:rsidRDefault="00367510" w:rsidP="0036751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Современный рынок закупок РФ чрезвычайно обширен.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Агрегаторы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обеспечивают быстрый и удобный поиск лучших предложений, дают возможность получать настраиваемые уведомления и подписывать контракты. Некоторые системы поиска позволяют участвовать в закупочной деятельности наравне с торговыми площадками. Ниже приведён список систем поиска закупок (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агрегаторов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а также их главные преимущества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(➕) 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недостатки (➖).</w:t>
      </w:r>
    </w:p>
    <w:p w:rsidR="00367510" w:rsidRPr="00367510" w:rsidRDefault="00367510" w:rsidP="00367510">
      <w:p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Топ-20 ресурсов по поиску тендеров: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Synapsenet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этот сервис позволяет находить государственные и коммерческие тендеры РФ.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удобные функции, мгновенное оповещение о тендерах и 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познавательный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блог о них;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периодические задержки при коммуникации со службой техподдержки.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Zakupki360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ресурс, предназначенный для нахождения закупок и управления различными задачами.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регулярный мониторинг бесплатных тендеров, контролирование задач без CRM системы и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доплачивания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 новых пользователей;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управления эскалацией.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StarPro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портал, который позволяет отслеживать и всесторонне анализировать разные площадки.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правовая поддержка и доступ к истории закупок;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задержки при коммуникации со службой техподдержки.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OTC-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tender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сайт с множеством полезных инструментов, регулярным мониторингом и обучением.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сбор информации с большого количества площадок и гибкая настройка оповещения о закупках;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довольно сложный функционал.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Bicotender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платформа с регулярно обновляющейся информацией и более 52 миллионами тендеров.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помощь в обретении банковской гарантии, информативные рассылки, расширенный поиск коммерческих и муниципальных площадок;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довольно сложный функционал.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Findtenders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сайт, позволяющий находить тендеры и управлять ими.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возможность группирования и сортирования запросов, а также формирования объединённых файлов;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долгое ожидание ответа сотрудников технической 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SBIS Тендеры</w:t>
      </w: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сервис с полезными инструментами для коммуникации и поиска торговых площадок.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оперативное оповещение о 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новых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ЭТП и интуитивно понятный интерфейс;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долгое ожидание ответа техподдержки.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MyTender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ресурс, характеризующийся быстрым поиском площадок и наличием услуги полного сопровождения.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группирование файлов, правовая поддержка и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анализирование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конкурентов;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сложный функционал.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Zakupki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Kontur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портал с углублённым поиском коммерческих и государственных торгов по законам № 44-ФЗ и № 223-ФЗ.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анализ конкурентов, юридическая поддержка и понятная аналитика;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невозможность приобретения электронно-цифровой подписи и отсутствие помощи в приобретении банковской гарантии.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MeSeldon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платформа, снабжённая бухгалтерскими отчётами, информацией из ЕГРЮЛ и ЕГРИП.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сохранение запросов, простота выгрузки и хранения карточек юридических лиц;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задержки при общении с технической поддержкой.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Rostender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сайт с углублённым поиском торговых площадок и анализом конкурентов.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стандартный интерфейс и отзывчивая служба поддержки;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➖ нерасширенный функционал.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Tenderguru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сервис, позволяющий быстро находить подходящие площадки и отфильтровывать их в зависимости от тематики и региона.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информационная рассылка, генерация детальных отчётов, предоставление исчерпывающих сведений о контрагентах;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широкого набора опций на стартовом тарифе.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Tenderplan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ресурс с детализированными отчётами и возможностью добавления в систему неограниченного количества пользователей.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наличие поиска по всем тендерам Российской Федерации, структурный анализ заказчиков и получение сведений в разных форматах;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помощи в приобретении банковской гарантии.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isZakupki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агрегатор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тендеров, 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оснащённый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быстрым и углублённым поиском, анализом конкурентов и заказчиков.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регулярная рассылка полезной информации, разделение тендеров в зависимости от тематики и прочих параметров;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широкого набора опций на стартовом тарифе.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Tenderland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портал, функционал которого позволяет комплексно автоматизировать процессы, связанные с участием в закупках.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возможность выгрузки данных в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Microsoft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наличие правовой поддержки, услуги полного сопровождения и фильтров для любого бизнеса;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долгое ожидание ответа специалистов техподдержки.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Contract</w:t>
      </w:r>
      <w:proofErr w:type="spellEnd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один из лидирующих участников рынка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госзакупок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детальный анализ заказчиков, удобный интерфейс и возможность отследить историю закупок;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задержки при коммуникации со службой технической поддержки.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Tenmon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платформа, с которой можно отслеживать ЭТП в реальном времени и осуществлять поиск по ключам в номенклатуре.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прикрепление документации и комплексный анализ выборки;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помощи в обретении банковской гарантии.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Garantexpress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сайт с актуальными и ежедневно обновляемыми сведениями, которые облегчают нахождение закупок на всевозможных платформах.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углублённый поиск и возможность приобретения электронно-цифровой подписи;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отсутствие анализа конкурентов.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IstBudget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сервис с CRM и множеством полезных дополнительных фильтров для поиска актуальных и завершённых тендеров.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➕ двухуровневый поиск, профессиональная техподдержка и база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госконтрактов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периодическая задержка в обновлении данных.</w:t>
      </w:r>
    </w:p>
    <w:p w:rsidR="00367510" w:rsidRPr="00367510" w:rsidRDefault="00367510" w:rsidP="00367510">
      <w:pPr>
        <w:numPr>
          <w:ilvl w:val="0"/>
          <w:numId w:val="5"/>
        </w:numPr>
        <w:shd w:val="clear" w:color="auto" w:fill="FFFFFF"/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675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TenderWin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ресурс, позволяющий контролировать все стадии тендерных продаж, отслеживать наиболее важные показатели в онлайн-режиме и получать аналитические отчёты в один клик.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➕ наличие шаблонов проектов и системы лояльности, глубокая аналитика;</w:t>
      </w:r>
    </w:p>
    <w:p w:rsidR="00367510" w:rsidRPr="00367510" w:rsidRDefault="00367510" w:rsidP="00367510">
      <w:pPr>
        <w:shd w:val="clear" w:color="auto" w:fill="FFFFFF"/>
        <w:spacing w:after="30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➖ долгая загрузка данных.</w:t>
      </w:r>
    </w:p>
    <w:p w:rsidR="00367510" w:rsidRPr="00367510" w:rsidRDefault="00367510" w:rsidP="00367510">
      <w:pPr>
        <w:pBdr>
          <w:left w:val="single" w:sz="36" w:space="11" w:color="3CC051"/>
        </w:pBdr>
        <w:shd w:val="clear" w:color="auto" w:fill="EBFCE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выборе платформы следует обращать внимание на её функциональные возможности и актуальность базы поставщиков. Наличие интеграции с </w:t>
      </w:r>
      <w:proofErr w:type="gram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внешними</w:t>
      </w:r>
      <w:proofErr w:type="gram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ERP- и SRM-системами позволит вам не перестраивать существующие рабочие процессы. Помимо проведения торгов, платформы могут предоставлять дополнительные полезные сервисы (финансовые, логистические и проч.).</w:t>
      </w:r>
    </w:p>
    <w:p w:rsidR="00367510" w:rsidRPr="00367510" w:rsidRDefault="00367510" w:rsidP="0036751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электронном виде проходит большинство </w:t>
      </w:r>
      <w:proofErr w:type="spellStart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госзакупок</w:t>
      </w:r>
      <w:proofErr w:type="spellEnd"/>
      <w:r w:rsidRPr="003675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коммерческих тендеров. Все они поддерживают разные виды электронных подписей. Для того чтобы не приобретать множество различных подписей, следует тщательно изучить перечень сайтов, с которыми работает конкретный ключ, и обращаться в крупные центры выдачи подписей — поскольку они предоставляют ключи, поддерживаемые многими площадками. Вне зависимости от направления деятельности все платформы обеспечивают юридическую силу совершаемых сделок, безопасность личных данных, а также возможность участия в аукционах из любой точки земного шара, отсутствие контакта между продавцом и покупателем.</w:t>
      </w:r>
      <w:bookmarkStart w:id="0" w:name="_GoBack"/>
      <w:bookmarkEnd w:id="0"/>
    </w:p>
    <w:sectPr w:rsidR="00367510" w:rsidRPr="00367510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F6F"/>
    <w:multiLevelType w:val="multilevel"/>
    <w:tmpl w:val="964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F5765"/>
    <w:multiLevelType w:val="multilevel"/>
    <w:tmpl w:val="EEB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52288"/>
    <w:multiLevelType w:val="multilevel"/>
    <w:tmpl w:val="E98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E3D00"/>
    <w:multiLevelType w:val="multilevel"/>
    <w:tmpl w:val="E6A6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B48BA"/>
    <w:multiLevelType w:val="multilevel"/>
    <w:tmpl w:val="A33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10"/>
    <w:rsid w:val="00367510"/>
    <w:rsid w:val="00430883"/>
    <w:rsid w:val="005F4FCE"/>
    <w:rsid w:val="00833036"/>
    <w:rsid w:val="00C27825"/>
    <w:rsid w:val="00DB1E5A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51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675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5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argin-top-20">
    <w:name w:val="margin-top-20"/>
    <w:basedOn w:val="a"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7510"/>
    <w:rPr>
      <w:b/>
      <w:bCs/>
    </w:rPr>
  </w:style>
  <w:style w:type="paragraph" w:styleId="a5">
    <w:name w:val="Normal (Web)"/>
    <w:basedOn w:val="a"/>
    <w:uiPriority w:val="99"/>
    <w:unhideWhenUsed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51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675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75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argin-top-20">
    <w:name w:val="margin-top-20"/>
    <w:basedOn w:val="a"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7510"/>
    <w:rPr>
      <w:b/>
      <w:bCs/>
    </w:rPr>
  </w:style>
  <w:style w:type="paragraph" w:styleId="a5">
    <w:name w:val="Normal (Web)"/>
    <w:basedOn w:val="a"/>
    <w:uiPriority w:val="99"/>
    <w:unhideWhenUsed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36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gdv.ru/blog/tendery-poisk" TargetMode="External"/><Relationship Id="rId18" Type="http://schemas.openxmlformats.org/officeDocument/2006/relationships/hyperlink" Target="https://pgdv.ru/blog/tendery-poisk" TargetMode="External"/><Relationship Id="rId26" Type="http://schemas.openxmlformats.org/officeDocument/2006/relationships/hyperlink" Target="https://pgdv.ru/blog/tendery-poisk" TargetMode="External"/><Relationship Id="rId39" Type="http://schemas.openxmlformats.org/officeDocument/2006/relationships/hyperlink" Target="https://otc.ru/tenders-search/te'k-torg" TargetMode="External"/><Relationship Id="rId21" Type="http://schemas.openxmlformats.org/officeDocument/2006/relationships/hyperlink" Target="https://pgdv.ru/blog/tendery-poisk" TargetMode="External"/><Relationship Id="rId34" Type="http://schemas.openxmlformats.org/officeDocument/2006/relationships/hyperlink" Target="https://otc.ru/tenders-search/rts-tender" TargetMode="External"/><Relationship Id="rId42" Type="http://schemas.openxmlformats.org/officeDocument/2006/relationships/hyperlink" Target="https://otc.ru/tenders/ee'tp" TargetMode="External"/><Relationship Id="rId47" Type="http://schemas.openxmlformats.org/officeDocument/2006/relationships/hyperlink" Target="https://otc.ru/tenders-search/gazneftetorgru" TargetMode="External"/><Relationship Id="rId50" Type="http://schemas.openxmlformats.org/officeDocument/2006/relationships/hyperlink" Target="https://otc.ru/tenders-search/onlinecontract" TargetMode="External"/><Relationship Id="rId7" Type="http://schemas.openxmlformats.org/officeDocument/2006/relationships/hyperlink" Target="https://pgdv.ru/blog/tendery-poi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gdv.ru/blog/tendery-poisk" TargetMode="External"/><Relationship Id="rId29" Type="http://schemas.openxmlformats.org/officeDocument/2006/relationships/hyperlink" Target="https://pgdv.ru/blog/tendery-poisk" TargetMode="External"/><Relationship Id="rId11" Type="http://schemas.openxmlformats.org/officeDocument/2006/relationships/hyperlink" Target="https://pgdv.ru/blog/tendery-poisk" TargetMode="External"/><Relationship Id="rId24" Type="http://schemas.openxmlformats.org/officeDocument/2006/relationships/hyperlink" Target="https://pgdv.ru/blog/tendery-poisk" TargetMode="External"/><Relationship Id="rId32" Type="http://schemas.openxmlformats.org/officeDocument/2006/relationships/hyperlink" Target="https://otc.ru/tenders-search/sberbank-ast" TargetMode="External"/><Relationship Id="rId37" Type="http://schemas.openxmlformats.org/officeDocument/2006/relationships/hyperlink" Target="https://otc.ru/tenders/rad" TargetMode="External"/><Relationship Id="rId40" Type="http://schemas.openxmlformats.org/officeDocument/2006/relationships/hyperlink" Target="https://otc.ru/tenders-search/b2b-center" TargetMode="External"/><Relationship Id="rId45" Type="http://schemas.openxmlformats.org/officeDocument/2006/relationships/hyperlink" Target="https://otc.ru/tenders-search/setonlin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gdv.ru/blog/tendery-poisk" TargetMode="External"/><Relationship Id="rId19" Type="http://schemas.openxmlformats.org/officeDocument/2006/relationships/hyperlink" Target="https://pgdv.ru/blog/tendery-poisk" TargetMode="External"/><Relationship Id="rId31" Type="http://schemas.openxmlformats.org/officeDocument/2006/relationships/hyperlink" Target="https://pgdv.ru/blog/tendery-poisk" TargetMode="External"/><Relationship Id="rId44" Type="http://schemas.openxmlformats.org/officeDocument/2006/relationships/hyperlink" Target="https://otc.ru/tenders/sberbank-ast" TargetMode="External"/><Relationship Id="rId52" Type="http://schemas.openxmlformats.org/officeDocument/2006/relationships/hyperlink" Target="https://otc.ru/tenders-search/torgi-2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gdv.ru/blog/tendery-poisk" TargetMode="External"/><Relationship Id="rId14" Type="http://schemas.openxmlformats.org/officeDocument/2006/relationships/hyperlink" Target="https://pgdv.ru/blog/tendery-poisk" TargetMode="External"/><Relationship Id="rId22" Type="http://schemas.openxmlformats.org/officeDocument/2006/relationships/hyperlink" Target="https://pgdv.ru/blog/tendery-poisk" TargetMode="External"/><Relationship Id="rId27" Type="http://schemas.openxmlformats.org/officeDocument/2006/relationships/hyperlink" Target="https://pgdv.ru/blog/tendery-poisk" TargetMode="External"/><Relationship Id="rId30" Type="http://schemas.openxmlformats.org/officeDocument/2006/relationships/hyperlink" Target="https://pgdv.ru/blog/tendery-poisk" TargetMode="External"/><Relationship Id="rId35" Type="http://schemas.openxmlformats.org/officeDocument/2006/relationships/hyperlink" Target="https://otc.ru/tenders-search/agz-rt" TargetMode="External"/><Relationship Id="rId43" Type="http://schemas.openxmlformats.org/officeDocument/2006/relationships/hyperlink" Target="https://otc.ru/tenders-search" TargetMode="External"/><Relationship Id="rId48" Type="http://schemas.openxmlformats.org/officeDocument/2006/relationships/hyperlink" Target="https://otc.ru/tenders-search/e'tzp-oao-rzhd" TargetMode="External"/><Relationship Id="rId8" Type="http://schemas.openxmlformats.org/officeDocument/2006/relationships/hyperlink" Target="https://pgdv.ru/blog/tendery-poisk" TargetMode="External"/><Relationship Id="rId51" Type="http://schemas.openxmlformats.org/officeDocument/2006/relationships/hyperlink" Target="https://otc.ru/tenders-search/etprf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gdv.ru/blog/tendery-poisk" TargetMode="External"/><Relationship Id="rId17" Type="http://schemas.openxmlformats.org/officeDocument/2006/relationships/hyperlink" Target="https://pgdv.ru/blog/tendery-poisk" TargetMode="External"/><Relationship Id="rId25" Type="http://schemas.openxmlformats.org/officeDocument/2006/relationships/hyperlink" Target="https://pgdv.ru/blog/tendery-poisk" TargetMode="External"/><Relationship Id="rId33" Type="http://schemas.openxmlformats.org/officeDocument/2006/relationships/hyperlink" Target="https://otc.ru/tenders-search/e'tp-ne'p" TargetMode="External"/><Relationship Id="rId38" Type="http://schemas.openxmlformats.org/officeDocument/2006/relationships/hyperlink" Target="https://otc.ru/tenders-search/e'tp-gpb" TargetMode="External"/><Relationship Id="rId46" Type="http://schemas.openxmlformats.org/officeDocument/2006/relationships/hyperlink" Target="https://otc.ru/tenders-search/tp-fabrikant" TargetMode="External"/><Relationship Id="rId20" Type="http://schemas.openxmlformats.org/officeDocument/2006/relationships/hyperlink" Target="https://pgdv.ru/blog/tendery-poisk" TargetMode="External"/><Relationship Id="rId41" Type="http://schemas.openxmlformats.org/officeDocument/2006/relationships/hyperlink" Target="https://otc.ru/tenders-search/ra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gdv.ru/blog/tendery-poisk" TargetMode="External"/><Relationship Id="rId15" Type="http://schemas.openxmlformats.org/officeDocument/2006/relationships/hyperlink" Target="https://pgdv.ru/blog/tendery-poisk" TargetMode="External"/><Relationship Id="rId23" Type="http://schemas.openxmlformats.org/officeDocument/2006/relationships/hyperlink" Target="https://pgdv.ru/blog/tendery-poisk" TargetMode="External"/><Relationship Id="rId28" Type="http://schemas.openxmlformats.org/officeDocument/2006/relationships/hyperlink" Target="https://pgdv.ru/blog/tendery-poisk" TargetMode="External"/><Relationship Id="rId36" Type="http://schemas.openxmlformats.org/officeDocument/2006/relationships/hyperlink" Target="https://otc.ru/tenders-search/ee'tp" TargetMode="External"/><Relationship Id="rId49" Type="http://schemas.openxmlformats.org/officeDocument/2006/relationships/hyperlink" Target="https://otc.ru/tenders-search/ak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Olga</cp:lastModifiedBy>
  <cp:revision>2</cp:revision>
  <dcterms:created xsi:type="dcterms:W3CDTF">2025-04-15T08:35:00Z</dcterms:created>
  <dcterms:modified xsi:type="dcterms:W3CDTF">2025-04-15T08:35:00Z</dcterms:modified>
</cp:coreProperties>
</file>