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de-DE"/>
        </w:rPr>
        <w:t>2026 FA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Week 1</w:t>
      </w:r>
    </w:p>
    <w:p>
      <w:pPr>
        <w:pStyle w:val="Body"/>
      </w:pPr>
      <w:r>
        <w:rPr>
          <w:rtl w:val="0"/>
        </w:rPr>
        <w:t>24 August 2026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Welcome to BUS634! Pr</w:t>
      </w:r>
      <w:r>
        <w:rPr>
          <w:rtl w:val="0"/>
          <w:lang w:val="en-US"/>
        </w:rPr>
        <w:t xml:space="preserve">ofessor </w:t>
      </w:r>
      <w:r>
        <w:rPr>
          <w:rtl w:val="0"/>
          <w:lang w:val="en-US"/>
        </w:rPr>
        <w:t xml:space="preserve">Dean and I are </w:t>
      </w:r>
      <w:r>
        <w:rPr>
          <w:rtl w:val="0"/>
          <w:lang w:val="en-US"/>
        </w:rPr>
        <w:t>happy</w:t>
      </w:r>
      <w:r>
        <w:rPr>
          <w:rtl w:val="0"/>
          <w:lang w:val="en-US"/>
        </w:rPr>
        <w:t xml:space="preserve"> to welcome you and look forward to </w:t>
      </w:r>
      <w:r>
        <w:rPr>
          <w:rtl w:val="0"/>
          <w:lang w:val="en-US"/>
        </w:rPr>
        <w:t>working with you over</w:t>
      </w:r>
      <w:r>
        <w:rPr>
          <w:rtl w:val="0"/>
          <w:lang w:val="en-US"/>
        </w:rPr>
        <w:t xml:space="preserve"> the next 8 week</w:t>
      </w:r>
      <w:r>
        <w:rPr>
          <w:rtl w:val="0"/>
          <w:lang w:val="en-US"/>
        </w:rPr>
        <w:t>s</w:t>
      </w:r>
      <w:r>
        <w:rPr>
          <w:rtl w:val="0"/>
        </w:rPr>
        <w:t>.  As I</w:t>
      </w:r>
      <w:r>
        <w:rPr>
          <w:rtl w:val="1"/>
        </w:rPr>
        <w:t>’</w:t>
      </w:r>
      <w:r>
        <w:rPr>
          <w:rtl w:val="0"/>
          <w:lang w:val="en-US"/>
        </w:rPr>
        <w:t>ve mentioned, I am your Instructional Coordinator and will be your main point of contact for all things.  A couple of administrative details:</w:t>
      </w:r>
    </w:p>
    <w:p>
      <w:pPr>
        <w:pStyle w:val="Body"/>
      </w:pP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Towards the beginning of each week I</w:t>
      </w:r>
      <w:r>
        <w:rPr>
          <w:rtl w:val="1"/>
        </w:rPr>
        <w:t>’</w:t>
      </w:r>
      <w:r>
        <w:rPr>
          <w:rtl w:val="0"/>
          <w:lang w:val="en-US"/>
        </w:rPr>
        <w:t xml:space="preserve">ll send out a note giving you a brief overview of what you can expect for the week. </w:t>
      </w:r>
    </w:p>
    <w:p>
      <w:pPr>
        <w:pStyle w:val="Body"/>
        <w:bidi w:val="0"/>
        <w:ind w:left="0" w:right="0" w:firstLine="0"/>
        <w:jc w:val="left"/>
        <w:rPr>
          <w:rtl w:val="0"/>
        </w:rPr>
      </w:pP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This course has a </w:t>
      </w:r>
      <w:r>
        <w:rPr>
          <w:rtl w:val="0"/>
          <w:lang w:val="en-US"/>
        </w:rPr>
        <w:t>live</w:t>
      </w:r>
      <w:r>
        <w:rPr>
          <w:rtl w:val="0"/>
          <w:lang w:val="en-US"/>
        </w:rPr>
        <w:t xml:space="preserve"> in-person section that meets Tuesdays &amp; Thursday</w:t>
      </w:r>
      <w:r>
        <w:rPr>
          <w:rtl w:val="1"/>
        </w:rPr>
        <w:t>’</w:t>
      </w:r>
      <w:r>
        <w:rPr>
          <w:rtl w:val="0"/>
          <w:lang w:val="en-US"/>
        </w:rPr>
        <w:t>s in the late afternoon.  It is being filmed and edited for our section.  You</w:t>
      </w:r>
      <w:r>
        <w:rPr>
          <w:rtl w:val="1"/>
        </w:rPr>
        <w:t>’</w:t>
      </w:r>
      <w:r>
        <w:rPr>
          <w:rtl w:val="0"/>
          <w:lang w:val="en-US"/>
        </w:rPr>
        <w:t>ll see the weekly Module open up by Tuesdays, and then the video</w:t>
      </w:r>
      <w:r>
        <w:rPr>
          <w:rtl w:val="1"/>
        </w:rPr>
        <w:t>’</w:t>
      </w:r>
      <w:r>
        <w:rPr>
          <w:rtl w:val="0"/>
          <w:lang w:val="en-US"/>
        </w:rPr>
        <w:t>s will land in that same Module on Wednesday</w:t>
      </w:r>
      <w:r>
        <w:rPr>
          <w:rtl w:val="1"/>
        </w:rPr>
        <w:t>’</w:t>
      </w:r>
      <w:r>
        <w:rPr>
          <w:rtl w:val="0"/>
          <w:lang w:val="en-US"/>
        </w:rPr>
        <w:t>s and Friday</w:t>
      </w:r>
      <w:r>
        <w:rPr>
          <w:rtl w:val="1"/>
        </w:rPr>
        <w:t>’</w:t>
      </w:r>
      <w:r>
        <w:rPr>
          <w:rtl w:val="0"/>
        </w:rPr>
        <w:t>s</w:t>
      </w:r>
      <w:r>
        <w:rPr>
          <w:rtl w:val="0"/>
          <w:lang w:val="en-US"/>
        </w:rPr>
        <w:t xml:space="preserve"> around noon</w:t>
      </w:r>
      <w:r>
        <w:rPr>
          <w:rtl w:val="0"/>
        </w:rPr>
        <w:t>.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If you haven</w:t>
      </w:r>
      <w:r>
        <w:rPr>
          <w:rtl w:val="1"/>
        </w:rPr>
        <w:t>’</w:t>
      </w:r>
      <w:r>
        <w:rPr>
          <w:rtl w:val="0"/>
          <w:lang w:val="en-US"/>
        </w:rPr>
        <w:t xml:space="preserve">t already, please review and familiarize yourself with Canvas and the Syllabus.  Of note, </w:t>
      </w:r>
      <w:r>
        <w:rPr>
          <w:rtl w:val="0"/>
          <w:lang w:val="en-US"/>
        </w:rPr>
        <w:t>Professor Dean</w:t>
      </w:r>
      <w:r>
        <w:rPr>
          <w:rtl w:val="0"/>
          <w:lang w:val="en-US"/>
        </w:rPr>
        <w:t xml:space="preserve"> has listed </w:t>
      </w: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Resources</w:t>
      </w:r>
      <w:r>
        <w:rPr>
          <w:rtl w:val="0"/>
        </w:rPr>
        <w:t xml:space="preserve">” </w:t>
      </w:r>
      <w:r>
        <w:rPr>
          <w:rtl w:val="0"/>
          <w:lang w:val="en-US"/>
        </w:rPr>
        <w:t xml:space="preserve">and </w:t>
      </w: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References</w:t>
      </w:r>
      <w:r>
        <w:rPr>
          <w:rtl w:val="0"/>
        </w:rPr>
        <w:t xml:space="preserve">” </w:t>
      </w:r>
      <w:r>
        <w:rPr>
          <w:rtl w:val="0"/>
        </w:rPr>
        <w:t xml:space="preserve">on </w:t>
      </w:r>
      <w:r>
        <w:rPr>
          <w:rtl w:val="0"/>
          <w:lang w:val="en-US"/>
        </w:rPr>
        <w:t>the</w:t>
      </w:r>
      <w:r>
        <w:rPr>
          <w:rtl w:val="0"/>
          <w:lang w:val="en-US"/>
        </w:rPr>
        <w:t xml:space="preserve"> syllabus.  These are not required reading, rather, provided for your follow on interest as well as a shortened citations list of reading and research that Tom has done in preparation.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In Week 1, </w:t>
      </w:r>
      <w:r>
        <w:rPr>
          <w:rtl w:val="0"/>
        </w:rPr>
        <w:t>Pr</w:t>
      </w:r>
      <w:r>
        <w:rPr>
          <w:rtl w:val="0"/>
          <w:lang w:val="en-US"/>
        </w:rPr>
        <w:t xml:space="preserve">ofessor </w:t>
      </w:r>
      <w:r>
        <w:rPr>
          <w:rtl w:val="0"/>
        </w:rPr>
        <w:t>Dean</w:t>
      </w:r>
      <w:r>
        <w:rPr>
          <w:rtl w:val="0"/>
          <w:lang w:val="en-US"/>
        </w:rPr>
        <w:t xml:space="preserve"> will take a good amount of time giving a helpful overview of the course, expectations, and other on-boarding material.  Then on Day 2 the in-person class will be playing a game based on The Tragedy of the Commons.  This is a multi-staged game that spans quite a bit of time.  Don</w:t>
      </w:r>
      <w:r>
        <w:rPr>
          <w:rtl w:val="1"/>
        </w:rPr>
        <w:t>’</w:t>
      </w:r>
      <w:r>
        <w:rPr>
          <w:rtl w:val="0"/>
          <w:lang w:val="en-US"/>
        </w:rPr>
        <w:t>t worry, once we have this recorded I</w:t>
      </w:r>
      <w:r>
        <w:rPr>
          <w:rtl w:val="1"/>
        </w:rPr>
        <w:t>’</w:t>
      </w:r>
      <w:r>
        <w:rPr>
          <w:rtl w:val="0"/>
          <w:lang w:val="en-US"/>
        </w:rPr>
        <w:t>ll give you time stamps of what to watch and what to speed through. This game has been part of Tom</w:t>
      </w:r>
      <w:r>
        <w:rPr>
          <w:rtl w:val="1"/>
        </w:rPr>
        <w:t>’</w:t>
      </w:r>
      <w:r>
        <w:rPr>
          <w:rtl w:val="0"/>
          <w:lang w:val="en-US"/>
        </w:rPr>
        <w:t>s classes over the years, and it</w:t>
      </w:r>
      <w:r>
        <w:rPr>
          <w:rtl w:val="1"/>
        </w:rPr>
        <w:t>’</w:t>
      </w:r>
      <w:r>
        <w:rPr>
          <w:rtl w:val="0"/>
          <w:lang w:val="en-US"/>
        </w:rPr>
        <w:t>s highly received, even by the asynchronous sections</w:t>
      </w:r>
      <w:r>
        <w:rPr>
          <w:rtl w:val="0"/>
        </w:rPr>
        <w:t>…</w:t>
      </w:r>
      <w:r>
        <w:rPr>
          <w:rtl w:val="0"/>
          <w:lang w:val="en-US"/>
        </w:rPr>
        <w:t>it helps lay a great and meaningful foundation for the rest of the course.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Preparation for this week: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Commons Simulation Player</w:t>
      </w:r>
      <w:r>
        <w:rPr>
          <w:rtl w:val="1"/>
        </w:rPr>
        <w:t>’</w:t>
      </w:r>
      <w:r>
        <w:rPr>
          <w:rtl w:val="0"/>
        </w:rPr>
        <w:t>s Manual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Dean, T.J. 2013. Sustainable Venturing: Entrepreneurial Opportunity in the Transition to a Sustainable Economy. Pearson. Chapter 1: An Introduction to Sustainable Venturing.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Cleantech Group. The 2026 Global Cleantech 100. (SKIM Closely)</w:t>
      </w:r>
    </w:p>
    <w:p>
      <w:pPr>
        <w:pStyle w:val="Body"/>
        <w:ind w:left="720" w:firstLine="72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"https://www.cleantech.com/the-global-cleantech-100/"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https://www.cleantech.com/the-global-cleantech-100/</w:t>
      </w:r>
      <w:r>
        <w:rPr/>
        <w:fldChar w:fldCharType="end" w:fldLock="0"/>
      </w:r>
      <w:r>
        <w:rPr>
          <w:rStyle w:val="None"/>
        </w:rPr>
        <w:br w:type="textWrapping"/>
      </w:r>
    </w:p>
    <w:p>
      <w:pPr>
        <w:pStyle w:val="Body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</w:rPr>
        <w:t xml:space="preserve">1st </w:t>
      </w:r>
      <w:r>
        <w:rPr>
          <w:rStyle w:val="None"/>
          <w:b w:val="1"/>
          <w:bCs w:val="1"/>
          <w:rtl w:val="1"/>
          <w:lang w:val="ar-SA" w:bidi="ar-SA"/>
        </w:rPr>
        <w:t>“</w:t>
      </w:r>
      <w:r>
        <w:rPr>
          <w:rStyle w:val="None"/>
          <w:b w:val="1"/>
          <w:bCs w:val="1"/>
          <w:rtl w:val="0"/>
          <w:lang w:val="en-US"/>
        </w:rPr>
        <w:t>Assignments</w:t>
      </w:r>
      <w:r>
        <w:rPr>
          <w:rStyle w:val="None"/>
          <w:b w:val="1"/>
          <w:bCs w:val="1"/>
          <w:rtl w:val="0"/>
        </w:rPr>
        <w:t>”</w:t>
      </w:r>
      <w:r>
        <w:rPr>
          <w:rStyle w:val="None"/>
          <w:b w:val="1"/>
          <w:bCs w:val="1"/>
          <w:rtl w:val="0"/>
        </w:rPr>
        <w:t>: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Introduce yourself under </w:t>
      </w:r>
      <w:r>
        <w:rPr>
          <w:rStyle w:val="None"/>
          <w:rtl w:val="1"/>
          <w:lang w:val="ar-SA" w:bidi="ar-SA"/>
        </w:rPr>
        <w:t>“</w:t>
      </w:r>
      <w:r>
        <w:rPr>
          <w:rStyle w:val="None"/>
          <w:rtl w:val="0"/>
          <w:lang w:val="en-US"/>
        </w:rPr>
        <w:t>Discussions</w:t>
      </w:r>
      <w:r>
        <w:rPr>
          <w:rStyle w:val="None"/>
          <w:rtl w:val="0"/>
        </w:rPr>
        <w:t xml:space="preserve">” </w:t>
      </w:r>
      <w:r>
        <w:rPr>
          <w:rStyle w:val="None"/>
          <w:rtl w:val="0"/>
          <w:lang w:val="en-US"/>
        </w:rPr>
        <w:t>to your classmates.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Complete the Project Skill and Sector Interest Form Due 8/31, under </w:t>
      </w:r>
      <w:r>
        <w:rPr>
          <w:rStyle w:val="None"/>
          <w:rtl w:val="1"/>
          <w:lang w:val="ar-SA" w:bidi="ar-SA"/>
        </w:rPr>
        <w:t>“</w:t>
      </w:r>
      <w:r>
        <w:rPr>
          <w:rStyle w:val="None"/>
          <w:rtl w:val="0"/>
          <w:lang w:val="en-US"/>
        </w:rPr>
        <w:t>Assignments</w:t>
      </w:r>
      <w:r>
        <w:rPr>
          <w:rStyle w:val="None"/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Style w:val="None"/>
          <w:rtl w:val="0"/>
          <w:lang w:val="en-US"/>
        </w:rPr>
        <w:t>That</w:t>
      </w:r>
      <w:r>
        <w:rPr>
          <w:rStyle w:val="None"/>
          <w:rtl w:val="1"/>
        </w:rPr>
        <w:t>’</w:t>
      </w:r>
      <w:r>
        <w:rPr>
          <w:rStyle w:val="None"/>
          <w:rtl w:val="0"/>
          <w:lang w:val="en-US"/>
        </w:rPr>
        <w:t>s all for this week</w:t>
      </w:r>
      <w:r>
        <w:rPr>
          <w:rStyle w:val="None"/>
          <w:rtl w:val="1"/>
        </w:rPr>
        <w:t>’</w:t>
      </w:r>
      <w:r>
        <w:rPr>
          <w:rStyle w:val="None"/>
          <w:rtl w:val="0"/>
        </w:rPr>
        <w:t xml:space="preserve">s </w:t>
      </w:r>
      <w:r>
        <w:rPr>
          <w:rStyle w:val="None"/>
          <w:rtl w:val="1"/>
          <w:lang w:val="ar-SA" w:bidi="ar-SA"/>
        </w:rPr>
        <w:t>“</w:t>
      </w:r>
      <w:r>
        <w:rPr>
          <w:rStyle w:val="None"/>
          <w:rtl w:val="0"/>
          <w:lang w:val="en-US"/>
        </w:rPr>
        <w:t>C</w:t>
      </w:r>
      <w:r>
        <w:rPr>
          <w:rStyle w:val="None"/>
          <w:rtl w:val="0"/>
          <w:lang w:val="en-US"/>
        </w:rPr>
        <w:t>hecklist</w:t>
      </w:r>
      <w:r>
        <w:rPr>
          <w:rStyle w:val="None"/>
          <w:rtl w:val="0"/>
        </w:rPr>
        <w:t>”</w:t>
      </w:r>
      <w:r>
        <w:rPr>
          <w:rStyle w:val="None"/>
          <w:rtl w:val="0"/>
        </w:rPr>
        <w:t>.</w:t>
      </w:r>
      <w:r>
        <w:rPr>
          <w:rStyle w:val="None"/>
          <w:rFonts w:ascii="Roboto" w:cs="Roboto" w:hAnsi="Roboto" w:eastAsia="Roboto"/>
          <w:sz w:val="42"/>
          <w:szCs w:val="42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Robo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)"/>
      <w:lvlJc w:val="left"/>
      <w:pPr>
        <w:ind w:left="216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(%5)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(%6)"/>
      <w:lvlJc w:val="left"/>
      <w:pPr>
        <w:ind w:left="432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)"/>
      <w:lvlJc w:val="left"/>
      <w:pPr>
        <w:ind w:left="216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(%5)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(%6)"/>
      <w:lvlJc w:val="left"/>
      <w:pPr>
        <w:ind w:left="432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)"/>
      <w:lvlJc w:val="left"/>
      <w:pPr>
        <w:ind w:left="216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(%5)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(%6)"/>
      <w:lvlJc w:val="left"/>
      <w:pPr>
        <w:ind w:left="432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1155cc"/>
      <w:u w:val="single" w:color="1155cc"/>
      <w14:textFill>
        <w14:solidFill>
          <w14:srgbClr w14:val="1155CC"/>
        </w14:solidFill>
      </w14:textFill>
    </w:r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