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8B90F" w14:textId="77777777" w:rsidR="008D6E14" w:rsidRPr="008D6E14" w:rsidRDefault="008D6E14" w:rsidP="008D6E1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2. Общие требования к построению, изложению, оформлению и содержанию стандартов, принятых в Российской Федерации</w:t>
      </w:r>
    </w:p>
    <w:p w14:paraId="3AD050E9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Порядок разработки национальных стандартов</w:t>
      </w:r>
    </w:p>
    <w:p w14:paraId="64BCDA07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Разработка и утверждение национальных стандартов (НС) проводится в такой последовательности:</w:t>
      </w:r>
    </w:p>
    <w:p w14:paraId="3C052126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1.  Национальный орган по стандартизации утверждает программы разработки стандартов и обеспечивает ее доступность всем заинтересованным лицам.</w:t>
      </w:r>
    </w:p>
    <w:p w14:paraId="2BD58A25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2.  Разработчик национально стандарта (любое юридическое или физическое лицо) направляет уведомление о разработке стандарта в национальный орган и публикует проект стандарта в печатном органе и информационной системе общего пользования в электронно-цифровой форме. Разработчик обязан по первому требованию заинтересованного лица предоставить копию проекта стандарта для отзыва.</w:t>
      </w:r>
    </w:p>
    <w:p w14:paraId="3A217107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3.  Разработчик дорабатывает проект НС с учетом полученных замечаний и проводит публичное обсуждение проекта в срок не менее чем через два месяца с момента уведомления.</w:t>
      </w:r>
    </w:p>
    <w:p w14:paraId="2FF9ED3D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4.  Проект национального стандарта с перечнем замечаний представляется в технический комитет на экспертизу. По результатам экспертизы ТК готовит мотивированное предложение об утверждении или отклонении проекта НС.</w:t>
      </w:r>
    </w:p>
    <w:p w14:paraId="220F12E1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5.  Предложение от технического комитета направляется в национальный орган по стандартизации, который на основе представленных материалов принимает решение об утверждении или отклонении НС.</w:t>
      </w:r>
    </w:p>
    <w:p w14:paraId="375413C9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6.  Национальный орган по стандартизации публикует в печатном органе и в информационной системе общего пользования в электронно-цифровой форме в течении 30 дней уведомление о утверждении национального стандарта.</w:t>
      </w:r>
    </w:p>
    <w:p w14:paraId="2F87DBE4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 Во вступившем в силу ФЗ о внесении изменений в закон о техническом регулировании указано, что «В случае отсутствия национальных стандартов </w:t>
      </w: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lastRenderedPageBreak/>
        <w:t>применительно к требованиям на определенные объекты технического регулирования могут разрабатываться своды правил». Разработка и утверждение сводов правил осуществляется федеральными органами исполнительной власти в пределах их полномочий. Порядок разработки сводов правил аналогичен процедуре разработки и утверждения стандартов.</w:t>
      </w:r>
    </w:p>
    <w:p w14:paraId="0A0B7374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В странах европейского сообщества уделяется большое внимание разработке новых стандартов, как одним из факторов обеспечения конкурентоспособности продукции. Так, на разработку около 1000 стандартов ежегодно в странах Европейского сообщества вкладываются около 7 млрд. евро, при этом значительная часть стандартов разрабатывается производителем.</w:t>
      </w:r>
    </w:p>
    <w:p w14:paraId="7458D066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Порядок изменения, отмены стандарта</w:t>
      </w:r>
    </w:p>
    <w:p w14:paraId="0E3FE027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Изменения стандарта проводят для поддержания его соответствия потребностям обеспечения качества и удобства использования. Разработка изменений к стандарту заключается в добавлении или исключении отдельных требований стандарта. Это выполняется для внесения в стандарт более прогрессивных требований, обеспечивающих в тоже время взаимозаменяемость выпускаемой продукции с продукцией по действующему стандарту.</w:t>
      </w:r>
    </w:p>
    <w:p w14:paraId="4386FED3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Пересмотр стандартов предусматривает отмену действующего и введение нового стандарта, обеспечивающего прогресс качества или производства.</w:t>
      </w:r>
    </w:p>
    <w:p w14:paraId="2CEAC982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Изменение, отмена стандартов проводится национальным органом по стандартизации по представлению технического комитета. </w:t>
      </w:r>
    </w:p>
    <w:p w14:paraId="4641466F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 w:rsidRPr="008D6E14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Технический комитет анализирует предложения от организаций, инженерных обществ, предпринимателей и других заинтересованных лиц по пересмотру стандарта. С учетом поступивших предложений ТК разрабатывает и направляет в национальный орган по стандартизации проект изменений к стандарту или предложение об отмене стандарта.</w:t>
      </w:r>
    </w:p>
    <w:p w14:paraId="5278B5C1" w14:textId="05C9B5D6" w:rsidR="00100111" w:rsidRDefault="008D6E14"/>
    <w:p w14:paraId="4E06A17C" w14:textId="77777777" w:rsidR="008D6E14" w:rsidRPr="008D6E14" w:rsidRDefault="008D6E14" w:rsidP="008D6E14">
      <w:pPr>
        <w:pStyle w:val="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lastRenderedPageBreak/>
        <w:t>3. Разработка и маркировка технических условий</w:t>
      </w:r>
    </w:p>
    <w:p w14:paraId="6F6DE66A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Технические условия – это технический документ, который устанавливает определённые технические требования, каким должны соответствовать конкретное вещество, изделие, материал, товар, услуга или же целая группа схожих по сути предметов. В технических условиях должны быть указаны определённые процедуры, позволяющие точно определить, были ли соблюдены нужные требования, или же в конечном продукте (услуге) есть отклонения.</w:t>
      </w:r>
    </w:p>
    <w:p w14:paraId="662D5E93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ТУ должны содержать вводную часть и разделы, расположенные в следующей последовательности:</w:t>
      </w:r>
    </w:p>
    <w:p w14:paraId="75922728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технические требования;</w:t>
      </w:r>
    </w:p>
    <w:p w14:paraId="02F5301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требования безопасности;</w:t>
      </w:r>
    </w:p>
    <w:p w14:paraId="134337F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требования охраны окружающей среды;</w:t>
      </w:r>
    </w:p>
    <w:p w14:paraId="14C74632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правила приемки;</w:t>
      </w:r>
    </w:p>
    <w:p w14:paraId="3BDCA483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методы контроля;</w:t>
      </w:r>
    </w:p>
    <w:p w14:paraId="1A9FFFD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транспортирование и хранение;</w:t>
      </w:r>
    </w:p>
    <w:p w14:paraId="0726DB8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указания по эксплуатации;</w:t>
      </w:r>
    </w:p>
    <w:p w14:paraId="78C0D6F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гарантии изготовителя.</w:t>
      </w:r>
    </w:p>
    <w:p w14:paraId="19044E93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Состав разделов и их содержание определяет разработчик в соответствии с особенностями продукции.</w:t>
      </w:r>
    </w:p>
    <w:p w14:paraId="55472CC0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Вводная часть должна содержать наименование продукции, ее назначение, область применения (при необходимости) и условия эксплуатации. Наименование продукции должно соответствовать наименованию, указанному в основном документе на эту продукцию. В конце вводной части приводят пример записи продукции в других документах и (или) при заказе.</w:t>
      </w:r>
    </w:p>
    <w:p w14:paraId="268CA94E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 разделе «Технические требования» должны быть приведены требования нормы и характеристики, определяющие показатели качества и потребительские (эксплуатационные) характеристики продукции.</w:t>
      </w:r>
    </w:p>
    <w:p w14:paraId="7D47C9D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Раздел в общем случае должен состоять из следующих подразделов:</w:t>
      </w:r>
    </w:p>
    <w:p w14:paraId="4617E36C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lastRenderedPageBreak/>
        <w:t>- основные параметры и характеристики (свойства);</w:t>
      </w:r>
    </w:p>
    <w:p w14:paraId="1D7C92A8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требования к сырью, материалам, покупным изделиям;</w:t>
      </w:r>
    </w:p>
    <w:p w14:paraId="4F130A80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комплектность;</w:t>
      </w:r>
    </w:p>
    <w:p w14:paraId="2886B7AE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маркировка;</w:t>
      </w:r>
    </w:p>
    <w:p w14:paraId="53414642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упаковка.</w:t>
      </w:r>
    </w:p>
    <w:p w14:paraId="0A3126B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 подразделе «Основные параметры и характеристики (свойства)» помещают:</w:t>
      </w:r>
    </w:p>
    <w:p w14:paraId="1AA74B65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основные параметры и характеристики, характеризующие тип (вид, марку, модель) продукции и, при необходимости, дают ее изображение с габаритными, установочными и присоединительными размерами или дают ссылку на конструкторские или другие технические документы с указанием их обозначений.</w:t>
      </w:r>
    </w:p>
    <w:p w14:paraId="1F04206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 xml:space="preserve">На продукцию, использование которой по истечении определенного срока представляет опасность для жизни, здоровья людей, окружающей среды или может причинить вред имуществу граждан, должны устанавливаться сроки службы </w:t>
      </w:r>
      <w:proofErr w:type="gramStart"/>
      <w:r w:rsidRPr="008D6E14">
        <w:rPr>
          <w:color w:val="1D2125"/>
          <w:sz w:val="28"/>
          <w:szCs w:val="28"/>
        </w:rPr>
        <w:t>по истечении</w:t>
      </w:r>
      <w:proofErr w:type="gramEnd"/>
      <w:r w:rsidRPr="008D6E14">
        <w:rPr>
          <w:color w:val="1D2125"/>
          <w:sz w:val="28"/>
          <w:szCs w:val="28"/>
        </w:rPr>
        <w:t xml:space="preserve"> которого продукция считается непригодной для использования по назначению (перечень такой продукции составляют в установленном порядке).</w:t>
      </w:r>
    </w:p>
    <w:p w14:paraId="7C5C10E4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Требования, помещаемые в подразделе «Основные параметры и характеристики (свойства)» указываются применительно к режимам и условиям ее эксплуатации (применения) и испытаний.</w:t>
      </w:r>
    </w:p>
    <w:p w14:paraId="7300F63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 подразделе «Маркировка» устанавливают следующие требования к маркировке продукции, в том числе к транспортной маркировке:</w:t>
      </w:r>
    </w:p>
    <w:p w14:paraId="06F33BEF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место маркировки (непосредственно на продукции, на ярлыках, этикетках, на таре и т.п.);</w:t>
      </w:r>
    </w:p>
    <w:p w14:paraId="3C4EF51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содержание маркировки;</w:t>
      </w:r>
    </w:p>
    <w:p w14:paraId="3C1D9F8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- способ нанесения маркировки.</w:t>
      </w:r>
    </w:p>
    <w:p w14:paraId="577E5AB5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 подразделе «Упаковка» устанавливают требования к упаковочным материалам, способу упаковывания продукции и т.п.</w:t>
      </w:r>
    </w:p>
    <w:p w14:paraId="256AA8F9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lastRenderedPageBreak/>
        <w:t>В разделе «Правила приемки» указывают порядок контроля продукции, порядок и условия предъявления и приемки продукции органами технического контроля предприятия-изготовителя и потребителем (заказчиком), размер предъявляемых партий, необходимость и время выдержки продукции до начала приемки, сопроводительную предъявительскую документацию, а также порядок оформления результатов приемки.</w:t>
      </w:r>
    </w:p>
    <w:p w14:paraId="07E11C6C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В разделе «Методы контроля» устанавливают приемы, способы, режимы контроля (испытаний, измерений, анализа) параметров, норм, требований и характеристик продукции, необходимость контроля которых предусмотрена в разделе «Правила приемки». Они должны быть объективными, четко сформулированы, точными и обеспечивать последовательные и воспроизводимые результаты, максимально приближены к условиям использования продукции.</w:t>
      </w:r>
    </w:p>
    <w:p w14:paraId="620C050B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ТУ утверждает разработчик ТУ или орган, предусмотренный действующим законодательством.  Изменения к ТУ утверждает держатель подлинника ТУ, если иное не установлено в договоре о передаче комплекта технической документации.</w:t>
      </w:r>
    </w:p>
    <w:p w14:paraId="022A5E7A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Утверждение ТУ (изменений к ним) оформляют подписью руководителя (заместителя руководителя) разработчика под грифом «УТВЕРЖДАЮ» на титульном листе документа.</w:t>
      </w:r>
    </w:p>
    <w:p w14:paraId="2E771BE1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ТУ утверждают, как правило, без ограничения срока действия.</w:t>
      </w:r>
    </w:p>
    <w:p w14:paraId="2A754B00" w14:textId="77777777" w:rsidR="008D6E14" w:rsidRPr="008D6E14" w:rsidRDefault="008D6E14" w:rsidP="008D6E14">
      <w:pPr>
        <w:pStyle w:val="a3"/>
        <w:spacing w:before="0" w:beforeAutospacing="0" w:after="0" w:afterAutospacing="0" w:line="360" w:lineRule="auto"/>
        <w:ind w:firstLine="709"/>
        <w:jc w:val="both"/>
        <w:rPr>
          <w:color w:val="1D2125"/>
          <w:sz w:val="28"/>
          <w:szCs w:val="28"/>
        </w:rPr>
      </w:pPr>
      <w:r w:rsidRPr="008D6E14">
        <w:rPr>
          <w:color w:val="1D2125"/>
          <w:sz w:val="28"/>
          <w:szCs w:val="28"/>
        </w:rPr>
        <w:t>Ограничение срока действий ТУ устанавливают, при необходимости, по согласованию с заказчиком (потребителем).</w:t>
      </w:r>
    </w:p>
    <w:p w14:paraId="26517450" w14:textId="77777777" w:rsidR="008D6E14" w:rsidRPr="008D6E14" w:rsidRDefault="008D6E14" w:rsidP="008D6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D6E14" w:rsidRPr="008D6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8A"/>
    <w:rsid w:val="000D26A2"/>
    <w:rsid w:val="008D6E14"/>
    <w:rsid w:val="00972D51"/>
    <w:rsid w:val="00E0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A76BC"/>
  <w15:chartTrackingRefBased/>
  <w15:docId w15:val="{C453E227-018F-4DA3-8BDD-4975F413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D6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6E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D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2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Бессмертный Андрей Витальевич</dc:creator>
  <cp:keywords/>
  <dc:description/>
  <cp:lastModifiedBy>Бессмертный Андрей Витальевич</cp:lastModifiedBy>
  <cp:revision>2</cp:revision>
  <dcterms:created xsi:type="dcterms:W3CDTF">2024-10-12T06:55:00Z</dcterms:created>
  <dcterms:modified xsi:type="dcterms:W3CDTF">2024-10-12T06:56:00Z</dcterms:modified>
</cp:coreProperties>
</file>