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2="http://schemas.microsoft.com/office/word/2010/wordml"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mc: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mc:Fallback>
        </mc: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BEBDC5B" ns2: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mc:Fallback>
        </mc: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mc:Fallback>
        </mc: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ayout w:type="fixed"/>
        <w:tblLook w:val="04A0" w:firstRow="1" w:lastRow="0" w:firstColumn="1" w:lastColumn="0" w:noHBand="0" w:noVBand="1"/>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ayout w:type="fixed"/>
        <w:tblLook w:val="04A0" w:firstRow="1" w:lastRow="0" w:firstColumn="1" w:lastColumn="0" w:noHBand="0" w:noVBand="1"/>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ayout w:type="fixed"/>
        <w:tblLook w:val="04A0" w:firstRow="1" w:lastRow="0" w:firstColumn="1" w:lastColumn="0" w:noHBand="0" w:noVBand="1"/>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mc="http://schemas.openxmlformats.org/markup-compatibility/2006" xmlns:ns2="http://schemas.microsoft.com/office/word/2012/wordml" xmlns:w="http://schemas.openxmlformats.org/wordprocessingml/2006/main" mc: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 w:numId="59">
    <w:abstractNumId w:val="58"/>
  </w:num>
  <w:numIdMacAtCleanup w:val="58"/>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