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xmlns:wp="http://schemas.openxmlformats.org/drawingml/2006/wordprocessingDrawing"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wp: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ns5:graphicFrameLocks/>
                </wp: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wp: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ns5:graphicFrameLocks noChangeAspect="1"/>
            </wp: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ns5:graphicFrameLocks noChangeAspect="1"/>
            </wp: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ns5:graphicFrameLocks/>
                </wp: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wp: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ns5:graphicFrameLocks/>
                </wp: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wp: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ns5:graphicFrameLocks/>
                </wp: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ns5:graphicFrameLocks/>
                </wp: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ns5:graphicFrameLocks/>
                </wp: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ook w:val="04A0" w:firstRow="1" w:lastRow="0" w:firstColumn="1" w:lastColumn="0" w:noHBand="0" w:noVBand="1"/>
        <w:tblLayout w:type="fixed"/>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wp: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ook w:val="04A0" w:firstRow="1" w:lastRow="0" w:firstColumn="1" w:lastColumn="0" w:noHBand="0" w:noVBand="1"/>
        <w:tblLayout w:type="fixed"/>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ook w:val="04A0" w:firstRow="1" w:lastRow="0" w:firstColumn="1" w:lastColumn="0" w:noHBand="0" w:noVBand="1"/>
        <w:tblLayout w:type="fixed"/>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ns5:graphicFrameLocks noChangeAspect="1"/>
            </wp: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