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6D3EE"/>
          <w:sz w:val="24"/>
        </w:rPr>
        <w:t>ENOSX AI</w:t>
      </w:r>
    </w:p>
    <w:p>
      <w:pPr>
        <w:pStyle w:val="Title"/>
        <w:jc w:val="center"/>
      </w:pPr>
      <w:r>
        <w:t>Glassmorphism Forms Redesign</w:t>
      </w:r>
    </w:p>
    <w:p>
      <w:pPr>
        <w:jc w:val="center"/>
      </w:pPr>
      <w:r>
        <w:rPr>
          <w:i/>
        </w:rPr>
        <w:t>Implementation summary · September 2026</w:t>
      </w:r>
    </w:p>
    <w:p>
      <w:r>
        <w:rPr>
          <w:b/>
        </w:rPr>
        <w:t xml:space="preserve">Objective. </w:t>
      </w:r>
      <w:r>
        <w:t>Adapt the supplied Glass Morphism Login Page reference into the existing ENOSX AI authentication experience while preserving the current sign-in, sign-up, Google, guest, validation, and local fallback behavior.</w:t>
      </w:r>
    </w:p>
    <w:p>
      <w:pPr>
        <w:pStyle w:val="Heading1"/>
      </w:pPr>
      <w:r>
        <w:t>What changed</w:t>
      </w:r>
    </w:p>
    <w:p>
      <w:pPr>
        <w:pStyle w:val="ListBullet"/>
      </w:pPr>
      <w:r>
        <w:t>Added a new glassmorphism hero visual inside the auth card with layered gradient spheres, orbital rings, grid texture, a moving highlight, ENOSX brand mark, and workspace metadata.</w:t>
      </w:r>
    </w:p>
    <w:p>
      <w:pPr>
        <w:pStyle w:val="ListBullet"/>
      </w:pPr>
      <w:r>
        <w:t>Refined the card proportions and responsive sizing to create a more cinematic, premium login surface without replacing the existing modal flow.</w:t>
      </w:r>
    </w:p>
    <w:p>
      <w:pPr>
        <w:pStyle w:val="ListBullet"/>
      </w:pPr>
      <w:r>
        <w:t>Updated the primary action from the flat orange treatment to an animated cyan-to-violet-to-magenta gradient consistent with the ENOSX AI visual language.</w:t>
      </w:r>
    </w:p>
    <w:p>
      <w:pPr>
        <w:pStyle w:val="ListBullet"/>
      </w:pPr>
      <w:r>
        <w:t>Improved field depth, radii, focus glow, trust messaging, and micro-interactions while keeping keyboard access and reduced-motion handling in place.</w:t>
      </w:r>
    </w:p>
    <w:p>
      <w:pPr>
        <w:pStyle w:val="ListBullet"/>
      </w:pPr>
      <w:r>
        <w:t>Added a compact trust row communicating the intended product promise: private by design, fast, focused, and yours.</w:t>
      </w:r>
    </w:p>
    <w:p>
      <w:pPr>
        <w:pStyle w:val="Heading1"/>
      </w:pPr>
      <w:r>
        <w:t>Files updated</w:t>
      </w:r>
    </w:p>
    <w:p>
      <w:pPr>
        <w:pStyle w:val="ListBullet2"/>
      </w:pPr>
      <w:r>
        <w:t>enosx-app/src/components/ProfilePanel.tsx</w:t>
      </w:r>
    </w:p>
    <w:p>
      <w:pPr>
        <w:pStyle w:val="ListBullet2"/>
      </w:pPr>
      <w:r>
        <w:t>enosx-app/src/index.css</w:t>
      </w:r>
    </w:p>
    <w:p>
      <w:pPr>
        <w:pStyle w:val="Heading1"/>
      </w:pPr>
      <w:r>
        <w:t>Verification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Check</w:t>
            </w:r>
          </w:p>
        </w:tc>
        <w:tc>
          <w:tcPr>
            <w:tcW w:type="dxa" w:w="5040"/>
          </w:tcPr>
          <w:p>
            <w:r>
              <w:t>Result</w:t>
            </w:r>
          </w:p>
        </w:tc>
      </w:tr>
      <w:tr>
        <w:tc>
          <w:tcPr>
            <w:tcW w:type="dxa" w:w="5040"/>
          </w:tcPr>
          <w:p>
            <w:r>
              <w:t>TypeScript typecheck</w:t>
            </w:r>
          </w:p>
        </w:tc>
        <w:tc>
          <w:tcPr>
            <w:tcW w:type="dxa" w:w="5040"/>
          </w:tcPr>
          <w:p>
            <w:r>
              <w:t>Passed</w:t>
            </w:r>
          </w:p>
        </w:tc>
      </w:tr>
      <w:tr>
        <w:tc>
          <w:tcPr>
            <w:tcW w:type="dxa" w:w="5040"/>
          </w:tcPr>
          <w:p>
            <w:r>
              <w:t>Production build</w:t>
            </w:r>
          </w:p>
        </w:tc>
        <w:tc>
          <w:tcPr>
            <w:tcW w:type="dxa" w:w="5040"/>
          </w:tcPr>
          <w:p>
            <w:r>
              <w:t>Passed</w:t>
            </w:r>
          </w:p>
        </w:tc>
      </w:tr>
      <w:tr>
        <w:tc>
          <w:tcPr>
            <w:tcW w:type="dxa" w:w="5040"/>
          </w:tcPr>
          <w:p>
            <w:r>
              <w:t>Git diff validation</w:t>
            </w:r>
          </w:p>
        </w:tc>
        <w:tc>
          <w:tcPr>
            <w:tcW w:type="dxa" w:w="5040"/>
          </w:tcPr>
          <w:p>
            <w:r>
              <w:t>Passed</w:t>
            </w:r>
          </w:p>
        </w:tc>
      </w:tr>
      <w:tr>
        <w:tc>
          <w:tcPr>
            <w:tcW w:type="dxa" w:w="5040"/>
          </w:tcPr>
          <w:p>
            <w:r>
              <w:t>Local browser render</w:t>
            </w:r>
          </w:p>
        </w:tc>
        <w:tc>
          <w:tcPr>
            <w:tcW w:type="dxa" w:w="5040"/>
          </w:tcPr>
          <w:p>
            <w:r>
              <w:t>Passed</w:t>
            </w:r>
          </w:p>
        </w:tc>
      </w:tr>
      <w:tr>
        <w:tc>
          <w:tcPr>
            <w:tcW w:type="dxa" w:w="5040"/>
          </w:tcPr>
          <w:p>
            <w:r>
              <w:t>Sign in mode</w:t>
            </w:r>
          </w:p>
        </w:tc>
        <w:tc>
          <w:tcPr>
            <w:tcW w:type="dxa" w:w="5040"/>
          </w:tcPr>
          <w:p>
            <w:r>
              <w:t>Verified</w:t>
            </w:r>
          </w:p>
        </w:tc>
      </w:tr>
      <w:tr>
        <w:tc>
          <w:tcPr>
            <w:tcW w:type="dxa" w:w="5040"/>
          </w:tcPr>
          <w:p>
            <w:r>
              <w:t>Create account mode</w:t>
            </w:r>
          </w:p>
        </w:tc>
        <w:tc>
          <w:tcPr>
            <w:tcW w:type="dxa" w:w="5040"/>
          </w:tcPr>
          <w:p>
            <w:r>
              <w:t>Verified</w:t>
            </w:r>
          </w:p>
        </w:tc>
      </w:tr>
    </w:tbl>
    <w:p>
      <w:pPr>
        <w:pStyle w:val="Heading1"/>
      </w:pPr>
      <w:r>
        <w:t>Deployment target</w:t>
      </w:r>
    </w:p>
    <w:p>
      <w:r>
        <w:rPr>
          <w:b/>
        </w:rPr>
        <w:t xml:space="preserve">Repository: </w:t>
      </w:r>
      <w:r>
        <w:t>github.com/enigmacxenosx/enosxai</w:t>
      </w:r>
    </w:p>
    <w:p>
      <w:r>
        <w:rPr>
          <w:b/>
        </w:rPr>
        <w:t xml:space="preserve">Vercel production domain: </w:t>
      </w:r>
      <w:r>
        <w:t>enosxai.vercel.app</w:t>
      </w:r>
    </w:p>
    <w:p>
      <w:r>
        <w:rPr>
          <w:b/>
        </w:rPr>
        <w:t xml:space="preserve">Vercel project: </w:t>
      </w:r>
      <w:r>
        <w:t>jjjjj-4tkd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ENOSX Technologies · Glassmorphism Forms Redesign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