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Passive-Only Counter-Surveillance Radar System</w:t>
      </w:r>
    </w:p>
    <w:p>
      <w:r>
        <w:rPr>
          <w:i/>
        </w:rPr>
        <w:t>Engineering Design Book: silent PCL and emitter geolocation on XCZU48DR, no transmitter of own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Document number</w:t>
            </w:r>
          </w:p>
        </w:tc>
        <w:tc>
          <w:tcPr>
            <w:tcW w:type="dxa" w:w="4320"/>
          </w:tcPr>
          <w:p>
            <w:r>
              <w:t>PCL-EDB-002</w:t>
            </w:r>
          </w:p>
        </w:tc>
      </w:tr>
      <w:tr>
        <w:tc>
          <w:tcPr>
            <w:tcW w:type="dxa" w:w="4320"/>
          </w:tcPr>
          <w:p>
            <w:r>
              <w:t>Revision</w:t>
            </w:r>
          </w:p>
        </w:tc>
        <w:tc>
          <w:tcPr>
            <w:tcW w:type="dxa" w:w="4320"/>
          </w:tcPr>
          <w:p>
            <w:r>
              <w:t>1.0</w:t>
            </w:r>
          </w:p>
        </w:tc>
      </w:tr>
      <w:tr>
        <w:tc>
          <w:tcPr>
            <w:tcW w:type="dxa" w:w="4320"/>
          </w:tcPr>
          <w:p>
            <w:r>
              <w:t>Date</w:t>
            </w:r>
          </w:p>
        </w:tc>
        <w:tc>
          <w:tcPr>
            <w:tcW w:type="dxa" w:w="4320"/>
          </w:tcPr>
          <w:p>
            <w:r>
              <w:t>2026-09-20</w:t>
            </w:r>
          </w:p>
        </w:tc>
      </w:tr>
      <w:tr>
        <w:tc>
          <w:tcPr>
            <w:tcW w:type="dxa" w:w="4320"/>
          </w:tcPr>
          <w:p>
            <w:r>
              <w:t>Platform baseline</w:t>
            </w:r>
          </w:p>
        </w:tc>
        <w:tc>
          <w:tcPr>
            <w:tcW w:type="dxa" w:w="4320"/>
          </w:tcPr>
          <w:p>
            <w:r>
              <w:t>AMD Zynq UltraScale+ RFSoC XCZU48DR (ZCU208 class)</w:t>
            </w:r>
          </w:p>
        </w:tc>
      </w:tr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Engineering design book - issued for review</w:t>
            </w:r>
          </w:p>
        </w:tc>
      </w:tr>
      <w:tr>
        <w:tc>
          <w:tcPr>
            <w:tcW w:type="dxa" w:w="4320"/>
          </w:tcPr>
          <w:p>
            <w:r>
              <w:t>Companion documents</w:t>
            </w:r>
          </w:p>
        </w:tc>
        <w:tc>
          <w:tcPr>
            <w:tcW w:type="dxa" w:w="4320"/>
          </w:tcPr>
          <w:p>
            <w:r>
              <w:t>GPR_SFCW_Engineering_Design_Book_RFSoC48DR_v1.4 (active RF hardware), GPV README + software/ps (validated active chain), GPM v1.8 (golden algorithms)</w:t>
            </w:r>
          </w:p>
        </w:tc>
      </w:tr>
    </w:tbl>
    <w:p/>
    <w:p>
      <w:pPr>
        <w:pStyle w:val="IntenseQuote"/>
      </w:pPr>
      <w:r>
        <w:t>Number labelling convention used throughout: [validated] = measured or bit-exact simulated result from the GPM v1.8 / GPV artifact set; [derived] = closed-form result of an equation stated in this book; [budget] = design target or resource estimate to be confirmed by implementation. No simulated result is presented as measured hardware data.</w:t>
      </w:r>
    </w:p>
    <w:p>
      <w:r>
        <w:br w:type="page"/>
      </w:r>
    </w:p>
    <w:p>
      <w:pPr>
        <w:pStyle w:val="Heading1"/>
      </w:pPr>
      <w:r>
        <w:t>Document map and engineering scope</w:t>
      </w:r>
    </w:p>
    <w:p>
      <w:r>
        <w:t>This book defines the PASSIVE-ONLY configuration of the counter-surveillance radar family: a standalone passive coherent location (PCL) and emitter-geolocation system with no transmitter of its own. It shares the passive sub-system design with the RAP integrated book (RAP-EDB-001) but is complete on its own: mission, illuminators, front end, cancellation, CAF, DOA, tracking, geolocation, spectrum-surveillance mode, XCZU48DR standalone partition, software, validation and failure modes. Where the integrated book adds fusion with an active radar, this book instead adds multi-site passive coherence and long-duration silent operation.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Rev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Date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Change</w:t>
            </w:r>
          </w:p>
        </w:tc>
      </w:tr>
      <w:tr>
        <w:tc>
          <w:tcPr>
            <w:tcW w:type="dxa" w:w="2880"/>
          </w:tcPr>
          <w:p>
            <w:r>
              <w:t>1.0</w:t>
            </w:r>
          </w:p>
        </w:tc>
        <w:tc>
          <w:tcPr>
            <w:tcW w:type="dxa" w:w="2880"/>
          </w:tcPr>
          <w:p>
            <w:r>
              <w:t>2026-09-20</w:t>
            </w:r>
          </w:p>
        </w:tc>
        <w:tc>
          <w:tcPr>
            <w:tcW w:type="dxa" w:w="2880"/>
          </w:tcPr>
          <w:p>
            <w:r>
              <w:t>First issue.</w:t>
            </w:r>
          </w:p>
        </w:tc>
      </w:tr>
    </w:tbl>
    <w:p/>
    <w:p>
      <w:pPr>
        <w:pStyle w:val="Heading1"/>
      </w:pPr>
      <w:r>
        <w:t>Mission: silent counter-surveillance</w:t>
      </w:r>
    </w:p>
    <w:p>
      <w:r>
        <w:t>The passive-only system never radiates. Its mission value is threefold: (1) it cannot be detected by a hostile RF-seeking sensor (T4), so it survives the contested electromagnetic environment; (2) it sees covert emitters (T1) that no radar can see; (3) it provides cue-quality air pictures from broadcast illuminators at ranges beyond small-radar horizon. Its limitations are equally explicit: no coverage against RF-silent targets, range accuracy bounded by illuminator bandwidth, and dependence on third-party transmitters.</w:t>
      </w:r>
    </w:p>
    <w:p>
      <w:pPr>
        <w:pStyle w:val="Heading2"/>
      </w:pPr>
      <w:r>
        <w:t>Operational profiles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Profile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4320"/>
          </w:tcPr>
          <w:p>
            <w:r>
              <w:t>P-SENTRY</w:t>
            </w:r>
          </w:p>
        </w:tc>
        <w:tc>
          <w:tcPr>
            <w:tcW w:type="dxa" w:w="4320"/>
          </w:tcPr>
          <w:p>
            <w:r>
              <w:t>Permanent silent site guard: 2 illuminator lanes + emitter scan, hours-long CPIs where bandwidth allows.</w:t>
            </w:r>
          </w:p>
        </w:tc>
      </w:tr>
      <w:tr>
        <w:tc>
          <w:tcPr>
            <w:tcW w:type="dxa" w:w="4320"/>
          </w:tcPr>
          <w:p>
            <w:r>
              <w:t>P-DEPLOY</w:t>
            </w:r>
          </w:p>
        </w:tc>
        <w:tc>
          <w:tcPr>
            <w:tcW w:type="dxa" w:w="4320"/>
          </w:tcPr>
          <w:p>
            <w:r>
              <w:t>Rapid-deploy node on the site grid: battery/vehicle power, TDOA partner to other nodes.</w:t>
            </w:r>
          </w:p>
        </w:tc>
      </w:tr>
      <w:tr>
        <w:tc>
          <w:tcPr>
            <w:tcW w:type="dxa" w:w="4320"/>
          </w:tcPr>
          <w:p>
            <w:r>
              <w:t>P-HUNT</w:t>
            </w:r>
          </w:p>
        </w:tc>
        <w:tc>
          <w:tcPr>
            <w:tcW w:type="dxa" w:w="4320"/>
          </w:tcPr>
          <w:p>
            <w:r>
              <w:t>Operator-directed emitter hunt: wideband spectrum survey + DOA walk, recording evidence chain.</w:t>
            </w:r>
          </w:p>
        </w:tc>
      </w:tr>
    </w:tbl>
    <w:p/>
    <w:p>
      <w:pPr>
        <w:pStyle w:val="Heading1"/>
      </w:pPr>
      <w:r>
        <w:t>Illuminators and waveforms</w:t>
      </w:r>
    </w:p>
    <w:p>
      <w:r>
        <w:t>Identical candidate set and selection policy as RAP-EDB-001 section 9; repeated here for standalone completeness with the passive-only emphasis on long CPIs: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Illuminator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c/(2B) [derived]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Best CPI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Silent-mode value</w:t>
            </w:r>
          </w:p>
        </w:tc>
      </w:tr>
      <w:tr>
        <w:tc>
          <w:tcPr>
            <w:tcW w:type="dxa" w:w="1728"/>
          </w:tcPr>
          <w:p>
            <w:r>
              <w:t>FM</w:t>
            </w:r>
          </w:p>
        </w:tc>
        <w:tc>
          <w:tcPr>
            <w:tcW w:type="dxa" w:w="1728"/>
          </w:tcPr>
          <w:p>
            <w:r>
              <w:t>200 kHz</w:t>
            </w:r>
          </w:p>
        </w:tc>
        <w:tc>
          <w:tcPr>
            <w:tcW w:type="dxa" w:w="1728"/>
          </w:tcPr>
          <w:p>
            <w:r>
              <w:t>750 m</w:t>
            </w:r>
          </w:p>
        </w:tc>
        <w:tc>
          <w:tcPr>
            <w:tcW w:type="dxa" w:w="1728"/>
          </w:tcPr>
          <w:p>
            <w:r>
              <w:t>10-60 s</w:t>
            </w:r>
          </w:p>
        </w:tc>
        <w:tc>
          <w:tcPr>
            <w:tcW w:type="dxa" w:w="1728"/>
          </w:tcPr>
          <w:p>
            <w:r>
              <w:t>Doppler-only air cue at very long range</w:t>
            </w:r>
          </w:p>
        </w:tc>
      </w:tr>
      <w:tr>
        <w:tc>
          <w:tcPr>
            <w:tcW w:type="dxa" w:w="1728"/>
          </w:tcPr>
          <w:p>
            <w:r>
              <w:t>DAB</w:t>
            </w:r>
          </w:p>
        </w:tc>
        <w:tc>
          <w:tcPr>
            <w:tcW w:type="dxa" w:w="1728"/>
          </w:tcPr>
          <w:p>
            <w:r>
              <w:t>1.536 MHz</w:t>
            </w:r>
          </w:p>
        </w:tc>
        <w:tc>
          <w:tcPr>
            <w:tcW w:type="dxa" w:w="1728"/>
          </w:tcPr>
          <w:p>
            <w:r>
              <w:t>98 m</w:t>
            </w:r>
          </w:p>
        </w:tc>
        <w:tc>
          <w:tcPr>
            <w:tcW w:type="dxa" w:w="1728"/>
          </w:tcPr>
          <w:p>
            <w:r>
              <w:t>2-10 s</w:t>
            </w:r>
          </w:p>
        </w:tc>
        <w:tc>
          <w:tcPr>
            <w:tcW w:type="dxa" w:w="1728"/>
          </w:tcPr>
          <w:p>
            <w:r>
              <w:t>Stable VHF track lane</w:t>
            </w:r>
          </w:p>
        </w:tc>
      </w:tr>
      <w:tr>
        <w:tc>
          <w:tcPr>
            <w:tcW w:type="dxa" w:w="1728"/>
          </w:tcPr>
          <w:p>
            <w:r>
              <w:t>DVB-T</w:t>
            </w:r>
          </w:p>
        </w:tc>
        <w:tc>
          <w:tcPr>
            <w:tcW w:type="dxa" w:w="1728"/>
          </w:tcPr>
          <w:p>
            <w:r>
              <w:t>7.61 MHz</w:t>
            </w:r>
          </w:p>
        </w:tc>
        <w:tc>
          <w:tcPr>
            <w:tcW w:type="dxa" w:w="1728"/>
          </w:tcPr>
          <w:p>
            <w:r>
              <w:t>19.7 m</w:t>
            </w:r>
          </w:p>
        </w:tc>
        <w:tc>
          <w:tcPr>
            <w:tcW w:type="dxa" w:w="1728"/>
          </w:tcPr>
          <w:p>
            <w:r>
              <w:t>0.5-2 s</w:t>
            </w:r>
          </w:p>
        </w:tc>
        <w:tc>
          <w:tcPr>
            <w:tcW w:type="dxa" w:w="1728"/>
          </w:tcPr>
          <w:p>
            <w:r>
              <w:t>Fine bistatic range, urban</w:t>
            </w:r>
          </w:p>
        </w:tc>
      </w:tr>
      <w:tr>
        <w:tc>
          <w:tcPr>
            <w:tcW w:type="dxa" w:w="1728"/>
          </w:tcPr>
          <w:p>
            <w:r>
              <w:t>LTE DL</w:t>
            </w:r>
          </w:p>
        </w:tc>
        <w:tc>
          <w:tcPr>
            <w:tcW w:type="dxa" w:w="1728"/>
          </w:tcPr>
          <w:p>
            <w:r>
              <w:t>5-20 MHz</w:t>
            </w:r>
          </w:p>
        </w:tc>
        <w:tc>
          <w:tcPr>
            <w:tcW w:type="dxa" w:w="1728"/>
          </w:tcPr>
          <w:p>
            <w:r>
              <w:t>30-7.5 m</w:t>
            </w:r>
          </w:p>
        </w:tc>
        <w:tc>
          <w:tcPr>
            <w:tcW w:type="dxa" w:w="1728"/>
          </w:tcPr>
          <w:p>
            <w:r>
              <w:t>0.2-1 s</w:t>
            </w:r>
          </w:p>
        </w:tc>
        <w:tc>
          <w:tcPr>
            <w:tcW w:type="dxa" w:w="1728"/>
          </w:tcPr>
          <w:p>
            <w:r>
              <w:t>Fine short-range, dense urban</w:t>
            </w:r>
          </w:p>
        </w:tc>
      </w:tr>
      <w:tr>
        <w:tc>
          <w:tcPr>
            <w:tcW w:type="dxa" w:w="1728"/>
          </w:tcPr>
          <w:p>
            <w:r>
              <w:t>GSM DL</w:t>
            </w:r>
          </w:p>
        </w:tc>
        <w:tc>
          <w:tcPr>
            <w:tcW w:type="dxa" w:w="1728"/>
          </w:tcPr>
          <w:p>
            <w:r>
              <w:t>200 kHz</w:t>
            </w:r>
          </w:p>
        </w:tc>
        <w:tc>
          <w:tcPr>
            <w:tcW w:type="dxa" w:w="1728"/>
          </w:tcPr>
          <w:p>
            <w:r>
              <w:t>750 m</w:t>
            </w:r>
          </w:p>
        </w:tc>
        <w:tc>
          <w:tcPr>
            <w:tcW w:type="dxa" w:w="1728"/>
          </w:tcPr>
          <w:p>
            <w:r>
              <w:t>burst-limited</w:t>
            </w:r>
          </w:p>
        </w:tc>
        <w:tc>
          <w:tcPr>
            <w:tcW w:type="dxa" w:w="1728"/>
          </w:tcPr>
          <w:p>
            <w:r>
              <w:t>Cross-check lane</w:t>
            </w:r>
          </w:p>
        </w:tc>
      </w:tr>
    </w:tbl>
    <w:p/>
    <w:p>
      <w:r>
        <w:t>Long CPIs on narrowband illuminators trade range resolution for enormous Doppler resolution: delta_v = lambda / (2 T_int cos(beta/2)) [derived]; FM at 100 MHz with T_int = 60 s resolves ~0.15 m/s radial - enough to separate hovering vs transiting UAVs by micro-Doppler sidebands.</w:t>
      </w:r>
    </w:p>
    <w:p>
      <w:pPr>
        <w:ind w:left="360"/>
      </w:pPr>
      <w:r>
        <w:rPr>
          <w:rFonts w:ascii="Consolas" w:hAnsi="Consolas"/>
          <w:sz w:val="19"/>
        </w:rPr>
        <w:t>delta_f_d = 1 / T_int ;  delta_v = lambda / (2 T_int cos(beta/2))</w:t>
      </w:r>
    </w:p>
    <w:p>
      <w:pPr>
        <w:pStyle w:val="Heading1"/>
      </w:pPr>
      <w:r>
        <w:t>Receiver architecture (standalone box)</w:t>
      </w:r>
    </w:p>
    <w:p>
      <w:r>
        <w:t>One XCZU48DR box with: 2 reference channels (directive), 4 surveillance channels (ULA), 1 wideband spectrum-survey channel (switchable or 5th element via RF switch matrix [budget]), common clock plant as in RAP-EDB-001 section 5 (no active chain to share, but multi-node TDOA still demands site-disciplined 10 MHz).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Channel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RFDC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Rate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Use</w:t>
            </w:r>
          </w:p>
        </w:tc>
      </w:tr>
      <w:tr>
        <w:tc>
          <w:tcPr>
            <w:tcW w:type="dxa" w:w="2160"/>
          </w:tcPr>
          <w:p>
            <w:r>
              <w:t>REF-1/2</w:t>
            </w:r>
          </w:p>
        </w:tc>
        <w:tc>
          <w:tcPr>
            <w:tcW w:type="dxa" w:w="2160"/>
          </w:tcPr>
          <w:p>
            <w:r>
              <w:t>ADC t0 b0/b1</w:t>
            </w:r>
          </w:p>
        </w:tc>
        <w:tc>
          <w:tcPr>
            <w:tcW w:type="dxa" w:w="2160"/>
          </w:tcPr>
          <w:p>
            <w:r>
              <w:t>2.4576 GSPS, DDC 32x</w:t>
            </w:r>
          </w:p>
        </w:tc>
        <w:tc>
          <w:tcPr>
            <w:tcW w:type="dxa" w:w="2160"/>
          </w:tcPr>
          <w:p>
            <w:r>
              <w:t>Illuminator copies</w:t>
            </w:r>
          </w:p>
        </w:tc>
      </w:tr>
      <w:tr>
        <w:tc>
          <w:tcPr>
            <w:tcW w:type="dxa" w:w="2160"/>
          </w:tcPr>
          <w:p>
            <w:r>
              <w:t>SURV-1..4 (ULA)</w:t>
            </w:r>
          </w:p>
        </w:tc>
        <w:tc>
          <w:tcPr>
            <w:tcW w:type="dxa" w:w="2160"/>
          </w:tcPr>
          <w:p>
            <w:r>
              <w:t>t0 b2, t0 b3, t1 b0, t1 b1</w:t>
            </w:r>
          </w:p>
        </w:tc>
        <w:tc>
          <w:tcPr>
            <w:tcW w:type="dxa" w:w="2160"/>
          </w:tcPr>
          <w:p>
            <w:r>
              <w:t>2.4576 GSPS, DDC 32x</w:t>
            </w:r>
          </w:p>
        </w:tc>
        <w:tc>
          <w:tcPr>
            <w:tcW w:type="dxa" w:w="2160"/>
          </w:tcPr>
          <w:p>
            <w:r>
              <w:t>Echoes + DOA</w:t>
            </w:r>
          </w:p>
        </w:tc>
      </w:tr>
      <w:tr>
        <w:tc>
          <w:tcPr>
            <w:tcW w:type="dxa" w:w="2160"/>
          </w:tcPr>
          <w:p>
            <w:r>
              <w:t>SURVEY</w:t>
            </w:r>
          </w:p>
        </w:tc>
        <w:tc>
          <w:tcPr>
            <w:tcW w:type="dxa" w:w="2160"/>
          </w:tcPr>
          <w:p>
            <w:r>
              <w:t>t1 b2</w:t>
            </w:r>
          </w:p>
        </w:tc>
        <w:tc>
          <w:tcPr>
            <w:tcW w:type="dxa" w:w="2160"/>
          </w:tcPr>
          <w:p>
            <w:r>
              <w:t>2.4576 GSPS, DDC bypass-ish 4x</w:t>
            </w:r>
          </w:p>
        </w:tc>
        <w:tc>
          <w:tcPr>
            <w:tcW w:type="dxa" w:w="2160"/>
          </w:tcPr>
          <w:p>
            <w:r>
              <w:t>Wideband emitter scan 0-1.2 GHz zone 1</w:t>
            </w:r>
          </w:p>
        </w:tc>
      </w:tr>
    </w:tbl>
    <w:p/>
    <w:p>
      <w:pPr>
        <w:pStyle w:val="Heading2"/>
      </w:pPr>
      <w:r>
        <w:t>Multi-node coherence</w:t>
      </w:r>
    </w:p>
    <w:p>
      <w:pPr>
        <w:pStyle w:val="ListBullet"/>
      </w:pPr>
      <w:r>
        <w:t>Two or more passive nodes on the site grid share the 10 MHz site reference (fiber/white-rabbit class distribution [budget]) enabling TDOA geolocation and coherent map fusion.</w:t>
      </w:r>
    </w:p>
    <w:p>
      <w:pPr>
        <w:pStyle w:val="ListBullet"/>
      </w:pPr>
      <w:r>
        <w:t>Per-node timestamps derive from the common reference so cue records from different nodes associate without resynchronisation.</w:t>
      </w:r>
    </w:p>
    <w:p>
      <w:pPr>
        <w:pStyle w:val="Heading1"/>
      </w:pPr>
      <w:r>
        <w:t>Cancellation, CAF, detection (standalone restatement)</w:t>
      </w:r>
    </w:p>
    <w:p>
      <w:r>
        <w:t>The processing chain is identical to RAP-EDB-001 sections 10-12: ECA DPI cancellation, Doppler-shifted clutter cancellation with ECR &gt;= 80 dB budget, batch CAF with G = B*T_int, 2-D CA-CFAR (Pfa 1e-6 budget), beamscan/MUSIC DOA. Differences for standalone operation:</w:t>
      </w:r>
    </w:p>
    <w:p>
      <w:pPr>
        <w:pStyle w:val="ListBullet"/>
      </w:pPr>
      <w:r>
        <w:t>No own-TX blanking needed (no transmitter): CPI scheduling is free, which is why the passive-only box can run the long FM CPIs the integrated system must interrupt.</w:t>
      </w:r>
    </w:p>
    <w:p>
      <w:pPr>
        <w:pStyle w:val="ListBullet"/>
      </w:pPr>
      <w:r>
        <w:t>Survey channel duty-cycles against CAF lanes only by fabric time-slice, not by RF conflict.</w:t>
      </w:r>
    </w:p>
    <w:p>
      <w:pPr>
        <w:pStyle w:val="ListBullet"/>
      </w:pPr>
      <w:r>
        <w:t>Evidence-chain recording: every emitter fix stores raw IQ snippet hashes for later forensic replay (counter-surveillance reporting requirement).</w:t>
      </w:r>
    </w:p>
    <w:p>
      <w:pPr>
        <w:pStyle w:val="Heading1"/>
      </w:pPr>
      <w:r>
        <w:t>Emitter geolocation and classification</w:t>
      </w:r>
    </w:p>
    <w:p>
      <w:pPr>
        <w:pStyle w:val="Heading2"/>
      </w:pPr>
      <w:r>
        <w:t>Fix construction</w:t>
      </w:r>
    </w:p>
    <w:p>
      <w:pPr>
        <w:pStyle w:val="ListNumber"/>
      </w:pPr>
      <w:r>
        <w:t>Single node: AOA from ULA on emitter waveform (wideband correlator DOA).</w:t>
      </w:r>
    </w:p>
    <w:p>
      <w:pPr>
        <w:pStyle w:val="ListNumber"/>
      </w:pPr>
      <w:r>
        <w:t>Two nodes: AOA + TDOA hyperbola =&gt; 2-D fix with covariance from CRLB of both observables.</w:t>
      </w:r>
    </w:p>
    <w:p>
      <w:pPr>
        <w:pStyle w:val="ListNumber"/>
      </w:pPr>
      <w:r>
        <w:t>Three+ nodes: TDOA least-squares fix; AOA used for gating only.</w:t>
      </w:r>
    </w:p>
    <w:p>
      <w:pPr>
        <w:pStyle w:val="ListNumber"/>
      </w:pPr>
      <w:r>
        <w:t>Altitude: unresolved without a third vertical baseline; reported as 2-D fix with altitude-unbounded covariance (honest error model).</w:t>
      </w:r>
    </w:p>
    <w:p>
      <w:pPr>
        <w:pStyle w:val="Heading2"/>
      </w:pPr>
      <w:r>
        <w:t>Classification feature set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Feature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Discriminates</w:t>
            </w:r>
          </w:p>
        </w:tc>
      </w:tr>
      <w:tr>
        <w:tc>
          <w:tcPr>
            <w:tcW w:type="dxa" w:w="4320"/>
          </w:tcPr>
          <w:p>
            <w:r>
              <w:t>Occupied bandwidth / mask shape</w:t>
            </w:r>
          </w:p>
        </w:tc>
        <w:tc>
          <w:tcPr>
            <w:tcW w:type="dxa" w:w="4320"/>
          </w:tcPr>
          <w:p>
            <w:r>
              <w:t>analogue video vs WiFi vs narrowband radio</w:t>
            </w:r>
          </w:p>
        </w:tc>
      </w:tr>
      <w:tr>
        <w:tc>
          <w:tcPr>
            <w:tcW w:type="dxa" w:w="4320"/>
          </w:tcPr>
          <w:p>
            <w:r>
              <w:t>Modulation family (OFDM cyclic prefix length, FSK deviation)</w:t>
            </w:r>
          </w:p>
        </w:tc>
        <w:tc>
          <w:tcPr>
            <w:tcW w:type="dxa" w:w="4320"/>
          </w:tcPr>
          <w:p>
            <w:r>
              <w:t>WiFi 20/40/80 MHz, LTE, DMR</w:t>
            </w:r>
          </w:p>
        </w:tc>
      </w:tr>
      <w:tr>
        <w:tc>
          <w:tcPr>
            <w:tcW w:type="dxa" w:w="4320"/>
          </w:tcPr>
          <w:p>
            <w:r>
              <w:t>Burst/PRI structure</w:t>
            </w:r>
          </w:p>
        </w:tc>
        <w:tc>
          <w:tcPr>
            <w:tcW w:type="dxa" w:w="4320"/>
          </w:tcPr>
          <w:p>
            <w:r>
              <w:t>FH radios, pulse radars, TDMA uplinks</w:t>
            </w:r>
          </w:p>
        </w:tc>
      </w:tr>
      <w:tr>
        <w:tc>
          <w:tcPr>
            <w:tcW w:type="dxa" w:w="4320"/>
          </w:tcPr>
          <w:p>
            <w:r>
              <w:t>Doppler sideband pattern</w:t>
            </w:r>
          </w:p>
        </w:tc>
        <w:tc>
          <w:tcPr>
            <w:tcW w:type="dxa" w:w="4320"/>
          </w:tcPr>
          <w:p>
            <w:r>
              <w:t>rotor micro-Doppler on UAV video links</w:t>
            </w:r>
          </w:p>
        </w:tc>
      </w:tr>
      <w:tr>
        <w:tc>
          <w:tcPr>
            <w:tcW w:type="dxa" w:w="4320"/>
          </w:tcPr>
          <w:p>
            <w:r>
              <w:t>Persistence / duty cycle</w:t>
            </w:r>
          </w:p>
        </w:tc>
        <w:tc>
          <w:tcPr>
            <w:tcW w:type="dxa" w:w="4320"/>
          </w:tcPr>
          <w:p>
            <w:r>
              <w:t>covert implant (scheduled beacon) vs operator-held radio</w:t>
            </w:r>
          </w:p>
        </w:tc>
      </w:tr>
    </w:tbl>
    <w:p/>
    <w:p>
      <w:r>
        <w:t>Classification outputs a likelihood vector over the threat table (RAP-EDB-001 section 2); no hard decision is made below a stated confidence [budget 0.8].</w:t>
      </w:r>
    </w:p>
    <w:p>
      <w:pPr>
        <w:pStyle w:val="Heading1"/>
      </w:pPr>
      <w:r>
        <w:t>Spectrum-surveillance mode (P-HUNT)</w:t>
      </w:r>
    </w:p>
    <w:p>
      <w:pPr>
        <w:pStyle w:val="ListBullet"/>
      </w:pPr>
      <w:r>
        <w:t>Sweep plan: zone-1 coarse sweep (0-1.2288 GHz) at 76.8 MS/s fabric slices, spectrogram pages to PS; detector: log-mean CFAR across frequency with occupancy mask of known-friendly emitters (site radio plan).</w:t>
      </w:r>
    </w:p>
    <w:p>
      <w:pPr>
        <w:pStyle w:val="ListBullet"/>
      </w:pPr>
      <w:r>
        <w:t>On new emitter: auto-slice a narrowband record (IQ + metadata), estimate features, hand to classification, then schedule DOA walks interleaved with CAF lane duty.</w:t>
      </w:r>
    </w:p>
    <w:p>
      <w:pPr>
        <w:pStyle w:val="ListBullet"/>
      </w:pPr>
      <w:r>
        <w:t>Output: evidence package (time, frequency mask, features, AOA(/fix), IQ hash).</w:t>
      </w:r>
    </w:p>
    <w:p>
      <w:pPr>
        <w:pStyle w:val="Heading1"/>
      </w:pPr>
      <w:r>
        <w:t>XCZU48DR standalone partition and resources</w:t>
      </w:r>
    </w:p>
    <w:p>
      <w:r>
        <w:t>Without the active chain the fabric budget of RAP-EDB-001 section 18 loses the frozen active block and gains the survey slicer: passive add-on ~1280 DSP + survey ~150 DSP [budget]; BRAM/URAM dominated by long-CPI REF ring buffers (60 s FM CPI at 76.8 MS/s x 2 B x 2 ref = 18.4 GB =&gt; REF rings live in PS DDR, PL holds batch windows only [derived]).</w:t>
      </w:r>
    </w:p>
    <w:p>
      <w:r>
        <w:rPr>
          <w:b/>
        </w:rPr>
        <w:t xml:space="preserve">Design decision: </w:t>
      </w:r>
      <w:r>
        <w:t>Long CPIs are a memory-system design, not a DSP design: batch streaming from DDR with deterministic replay is the same discipline the validated chain uses for frame buffers.</w:t>
      </w:r>
    </w:p>
    <w:p>
      <w:pPr>
        <w:pStyle w:val="Heading2"/>
      </w:pPr>
      <w:r>
        <w:t>Power and thermal</w:t>
      </w:r>
    </w:p>
    <w:p>
      <w:r>
        <w:t>Silent operation removes TX power; box power is RFSoC + clock plant class, battery-profiled for P-DEPLOY [budget 60 W typical].</w:t>
      </w:r>
    </w:p>
    <w:p>
      <w:pPr>
        <w:pStyle w:val="Heading1"/>
      </w:pPr>
      <w:r>
        <w:t>Software</w:t>
      </w:r>
    </w:p>
    <w:p>
      <w:pPr>
        <w:pStyle w:val="ListBullet"/>
      </w:pPr>
      <w:r>
        <w:t>PS runtime: same skeleton discipline as GPV software/ps (service loop, IRQ W1C, integer data contract), register map 0x00-0xFF passive-only variant: PASS_CTRL, LANE_tune, CAF_CFG, ECR_MON, SURVEY_PLAN, EVID_FIFO, NODE_ID/TDOA_CLK.</w:t>
      </w:r>
    </w:p>
    <w:p>
      <w:pPr>
        <w:pStyle w:val="ListBullet"/>
      </w:pPr>
      <w:r>
        <w:t>Node coordination: cue/fix exchange over site LAN with common-reference timestamps; a coordinator node runs the multi-node fix least-squares.</w:t>
      </w:r>
    </w:p>
    <w:p>
      <w:pPr>
        <w:pStyle w:val="ListBullet"/>
      </w:pPr>
      <w:r>
        <w:t>Operator workstation: range-Doppler lanes, DOA roses, emitter table, evidence browser; offline replay from recorded IQ (same offline philosophy as GPM/GPV packages).</w:t>
      </w:r>
    </w:p>
    <w:p>
      <w:pPr>
        <w:pStyle w:val="Heading1"/>
      </w:pPr>
      <w:r>
        <w:t>Validation plan (passive-only)</w:t>
      </w:r>
    </w:p>
    <w:p>
      <w:pPr>
        <w:pStyle w:val="ListBullet"/>
      </w:pPr>
      <w:r>
        <w:t>Golden: passive_channel_sim.m + pcl_chain_ref.m shared with RAP book; added geolocation_ref.m (AOA/TDOA CRLB-consistent) and survey_ref.m.</w:t>
      </w:r>
    </w:p>
    <w:p>
      <w:pPr>
        <w:pStyle w:val="ListBullet"/>
      </w:pPr>
      <w:r>
        <w:t>TBs: tb_chan, tb_eca, tb_caf, tb_cfar2d, tb_doa (shared) + tb_tdoa (two-node timestamp association), tb_survey (mask/CFAR on synthetic spectrum).</w:t>
      </w:r>
    </w:p>
    <w:p>
      <w:pPr>
        <w:pStyle w:val="ListBullet"/>
      </w:pPr>
      <w:r>
        <w:t>Gates G0-G2 as RAP book; G4' = cable TDOA/DOA loopback; G5' = field: ECR survey, emitter fix accuracy vs surveyed truth points, evidence-package audit.</w:t>
      </w:r>
    </w:p>
    <w:p>
      <w:pPr>
        <w:pStyle w:val="Heading2"/>
      </w:pPr>
      <w:r>
        <w:t>Acceptance metrics [budget]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Target</w:t>
            </w:r>
          </w:p>
        </w:tc>
      </w:tr>
      <w:tr>
        <w:tc>
          <w:tcPr>
            <w:tcW w:type="dxa" w:w="4320"/>
          </w:tcPr>
          <w:p>
            <w:r>
              <w:t>ECR on strongest DPI</w:t>
            </w:r>
          </w:p>
        </w:tc>
        <w:tc>
          <w:tcPr>
            <w:tcW w:type="dxa" w:w="4320"/>
          </w:tcPr>
          <w:p>
            <w:r>
              <w:t>&gt;= 80 dB</w:t>
            </w:r>
          </w:p>
        </w:tc>
      </w:tr>
      <w:tr>
        <w:tc>
          <w:tcPr>
            <w:tcW w:type="dxa" w:w="4320"/>
          </w:tcPr>
          <w:p>
            <w:r>
              <w:t>CAF gain vs theory</w:t>
            </w:r>
          </w:p>
        </w:tc>
        <w:tc>
          <w:tcPr>
            <w:tcW w:type="dxa" w:w="4320"/>
          </w:tcPr>
          <w:p>
            <w:r>
              <w:t>within 1 dB</w:t>
            </w:r>
          </w:p>
        </w:tc>
      </w:tr>
      <w:tr>
        <w:tc>
          <w:tcPr>
            <w:tcW w:type="dxa" w:w="4320"/>
          </w:tcPr>
          <w:p>
            <w:r>
              <w:t>AOA rms (SNR &gt;= 20 dB, in-band)</w:t>
            </w:r>
          </w:p>
        </w:tc>
        <w:tc>
          <w:tcPr>
            <w:tcW w:type="dxa" w:w="4320"/>
          </w:tcPr>
          <w:p>
            <w:r>
              <w:t>&lt;= 3 deg</w:t>
            </w:r>
          </w:p>
        </w:tc>
      </w:tr>
      <w:tr>
        <w:tc>
          <w:tcPr>
            <w:tcW w:type="dxa" w:w="4320"/>
          </w:tcPr>
          <w:p>
            <w:r>
              <w:t>Two-node fix CEP50 (urban, DVB-T lane)</w:t>
            </w:r>
          </w:p>
        </w:tc>
        <w:tc>
          <w:tcPr>
            <w:tcW w:type="dxa" w:w="4320"/>
          </w:tcPr>
          <w:p>
            <w:r>
              <w:t>&lt;= 150 m</w:t>
            </w:r>
          </w:p>
        </w:tc>
      </w:tr>
      <w:tr>
        <w:tc>
          <w:tcPr>
            <w:tcW w:type="dxa" w:w="4320"/>
          </w:tcPr>
          <w:p>
            <w:r>
              <w:t>Emitter detection sensitivity</w:t>
            </w:r>
          </w:p>
        </w:tc>
        <w:tc>
          <w:tcPr>
            <w:tcW w:type="dxa" w:w="4320"/>
          </w:tcPr>
          <w:p>
            <w:r>
              <w:t>-100 dBm in-band, Pd 0.9 @ 1e-6 FA/h</w:t>
            </w:r>
          </w:p>
        </w:tc>
      </w:tr>
    </w:tbl>
    <w:p/>
    <w:p>
      <w:pPr>
        <w:pStyle w:val="Heading1"/>
      </w:pPr>
      <w:r>
        <w:t>Failure modes and diagnostics (passive-only)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Failure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Observable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Mitigation</w:t>
            </w:r>
          </w:p>
        </w:tc>
      </w:tr>
      <w:tr>
        <w:tc>
          <w:tcPr>
            <w:tcW w:type="dxa" w:w="2880"/>
          </w:tcPr>
          <w:p>
            <w:r>
              <w:t>Illuminator maintenance outage</w:t>
            </w:r>
          </w:p>
        </w:tc>
        <w:tc>
          <w:tcPr>
            <w:tcW w:type="dxa" w:w="2880"/>
          </w:tcPr>
          <w:p>
            <w:r>
              <w:t>REF power drop, lane dead</w:t>
            </w:r>
          </w:p>
        </w:tc>
        <w:tc>
          <w:tcPr>
            <w:tcW w:type="dxa" w:w="2880"/>
          </w:tcPr>
          <w:p>
            <w:r>
              <w:t>re-rank; profile degrades gracefully</w:t>
            </w:r>
          </w:p>
        </w:tc>
      </w:tr>
      <w:tr>
        <w:tc>
          <w:tcPr>
            <w:tcW w:type="dxa" w:w="2880"/>
          </w:tcPr>
          <w:p>
            <w:r>
              <w:t>Site reference distribution fault (multi-node)</w:t>
            </w:r>
          </w:p>
        </w:tc>
        <w:tc>
          <w:tcPr>
            <w:tcW w:type="dxa" w:w="2880"/>
          </w:tcPr>
          <w:p>
            <w:r>
              <w:t>TDOA residuals jump</w:t>
            </w:r>
          </w:p>
        </w:tc>
        <w:tc>
          <w:tcPr>
            <w:tcW w:type="dxa" w:w="2880"/>
          </w:tcPr>
          <w:p>
            <w:r>
              <w:t>fall back to single-node AOA fixes</w:t>
            </w:r>
          </w:p>
        </w:tc>
      </w:tr>
      <w:tr>
        <w:tc>
          <w:tcPr>
            <w:tcW w:type="dxa" w:w="2880"/>
          </w:tcPr>
          <w:p>
            <w:r>
              <w:t>ULA element fault</w:t>
            </w:r>
          </w:p>
        </w:tc>
        <w:tc>
          <w:tcPr>
            <w:tcW w:type="dxa" w:w="2880"/>
          </w:tcPr>
          <w:p>
            <w:r>
              <w:t>DOA bias/sidelobe rise</w:t>
            </w:r>
          </w:p>
        </w:tc>
        <w:tc>
          <w:tcPr>
            <w:tcW w:type="dxa" w:w="2880"/>
          </w:tcPr>
          <w:p>
            <w:r>
              <w:t>element health tone injection; array recal</w:t>
            </w:r>
          </w:p>
        </w:tc>
      </w:tr>
      <w:tr>
        <w:tc>
          <w:tcPr>
            <w:tcW w:type="dxa" w:w="2880"/>
          </w:tcPr>
          <w:p>
            <w:r>
              <w:t>Dense co-channel emitters</w:t>
            </w:r>
          </w:p>
        </w:tc>
        <w:tc>
          <w:tcPr>
            <w:tcW w:type="dxa" w:w="2880"/>
          </w:tcPr>
          <w:p>
            <w:r>
              <w:t>classification confidence collapse</w:t>
            </w:r>
          </w:p>
        </w:tc>
        <w:tc>
          <w:tcPr>
            <w:tcW w:type="dxa" w:w="2880"/>
          </w:tcPr>
          <w:p>
            <w:r>
              <w:t>report as unresolved cluster, never force class</w:t>
            </w:r>
          </w:p>
        </w:tc>
      </w:tr>
      <w:tr>
        <w:tc>
          <w:tcPr>
            <w:tcW w:type="dxa" w:w="2880"/>
          </w:tcPr>
          <w:p>
            <w:r>
              <w:t>Survey self-blindness during long CPI</w:t>
            </w:r>
          </w:p>
        </w:tc>
        <w:tc>
          <w:tcPr>
            <w:tcW w:type="dxa" w:w="2880"/>
          </w:tcPr>
          <w:p>
            <w:r>
              <w:t>missed new emitters</w:t>
            </w:r>
          </w:p>
        </w:tc>
        <w:tc>
          <w:tcPr>
            <w:tcW w:type="dxa" w:w="2880"/>
          </w:tcPr>
          <w:p>
            <w:r>
              <w:t>interleaved survey slices priced into CPI schedule</w:t>
            </w:r>
          </w:p>
        </w:tc>
      </w:tr>
    </w:tbl>
    <w:p/>
    <w:p>
      <w:pPr>
        <w:pStyle w:val="Heading1"/>
      </w:pPr>
      <w:r>
        <w:t>References and provenance</w:t>
      </w:r>
    </w:p>
    <w:p>
      <w:pPr>
        <w:pStyle w:val="ListNumber"/>
      </w:pPr>
      <w:r>
        <w:t>RAP-EDB-001 (integrated book) - shared passive sub-system sections.</w:t>
      </w:r>
    </w:p>
    <w:p>
      <w:pPr>
        <w:pStyle w:val="ListNumber"/>
      </w:pPr>
      <w:r>
        <w:t>GPV ps-runtime / GPM v1.8 - software and validation discipline, RFDC practice.</w:t>
      </w:r>
    </w:p>
    <w:p>
      <w:pPr>
        <w:pStyle w:val="ListNumber"/>
      </w:pPr>
      <w:r>
        <w:t>UG1410, PG269 - board and converter facts.</w:t>
      </w:r>
    </w:p>
    <w:p>
      <w:pPr>
        <w:pStyle w:val="ListNumber"/>
      </w:pPr>
      <w:r>
        <w:t>Griffiths &amp; Long 1986; Howland 1999; Colone et al. (ECA/multistage); Bournaka et al. 2008; Malanowski et al. on DAB/DVB-T PCL; Skolnik Radar Handbook.</w:t>
      </w:r>
    </w:p>
    <w:p>
      <w:pPr>
        <w:pStyle w:val="ListNumber"/>
      </w:pPr>
      <w:r>
        <w:t>IEEE standards on emitter classification are not assumed; feature set is engineering practice, flagged [budget] where thresholds are site-tuned.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Passive-Only Counter-Surveillance Radar System</dc:title>
  <dc:subject/>
  <dc:creator>GPV engineering documentation</dc:creator>
  <cp:keywords/>
  <dc:description>PCL-EDB-002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