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sz w:val="48"/>
        </w:rPr>
        <w:t>Demand Charter - 288 - IFRS 18</w:t>
      </w:r>
    </w:p>
    <w:p>
      <w:r>
        <w:t>Knowledge-base copy of the filled-in Demand Charter for demand 288 (IFRS 18 Implementation), written in plain, easy-to-understand language. See also the .md and .pptx versions in this folder; all three contain the same content.</w:t>
      </w:r>
    </w:p>
    <w:tbl>
      <w:tblPr>
        <w:tblW w:type="auto" w:w="0"/>
        <w:jc w:val="center"/>
        <w:tblLook w:firstColumn="1" w:firstRow="1" w:lastColumn="0" w:lastRow="0" w:noHBand="0" w:noVBand="1" w:val="04A0"/>
      </w:tblPr>
      <w:tblGrid>
        <w:gridCol w:w="2635"/>
        <w:gridCol w:w="2635"/>
        <w:gridCol w:w="2635"/>
        <w:gridCol w:w="2635"/>
      </w:tblGrid>
      <w:tr>
        <w:tc>
          <w:tcPr>
            <w:tcW w:type="dxa" w:w="2635"/>
            <w:shd w:val="clear" w:color="auto" w:fill="8EA9DB"/>
          </w:tcPr>
          <w:p>
            <w:pPr>
              <w:jc w:val="center"/>
            </w:pPr>
            <w:r/>
            <w:r>
              <w:rPr>
                <w:b/>
                <w:color w:val="FFFFFF"/>
                <w:sz w:val="20"/>
              </w:rPr>
              <w:t>Titel</w:t>
            </w:r>
          </w:p>
        </w:tc>
        <w:tc>
          <w:tcPr>
            <w:tcW w:type="dxa" w:w="2635"/>
            <w:shd w:val="clear" w:color="auto" w:fill="8EA9DB"/>
          </w:tcPr>
          <w:p>
            <w:pPr>
              <w:jc w:val="center"/>
            </w:pPr>
            <w:r/>
            <w:r>
              <w:rPr>
                <w:b/>
                <w:color w:val="FFFFFF"/>
                <w:sz w:val="20"/>
              </w:rPr>
              <w:t>Demand Manager</w:t>
            </w:r>
          </w:p>
        </w:tc>
        <w:tc>
          <w:tcPr>
            <w:tcW w:type="dxa" w:w="2635"/>
            <w:shd w:val="clear" w:color="auto" w:fill="8EA9DB"/>
          </w:tcPr>
          <w:p>
            <w:pPr>
              <w:jc w:val="center"/>
            </w:pPr>
            <w:r/>
            <w:r>
              <w:rPr>
                <w:b/>
                <w:color w:val="FFFFFF"/>
                <w:sz w:val="20"/>
              </w:rPr>
              <w:t>E2E / Core Proc.</w:t>
            </w:r>
          </w:p>
        </w:tc>
        <w:tc>
          <w:tcPr>
            <w:tcW w:type="dxa" w:w="2635"/>
            <w:shd w:val="clear" w:color="auto" w:fill="8EA9DB"/>
          </w:tcPr>
          <w:p>
            <w:pPr>
              <w:jc w:val="center"/>
            </w:pPr>
            <w:r/>
            <w:r>
              <w:rPr>
                <w:b/>
                <w:color w:val="FFFFFF"/>
                <w:sz w:val="20"/>
              </w:rPr>
              <w:t>Security Classif.</w:t>
            </w:r>
          </w:p>
        </w:tc>
      </w:tr>
      <w:tr>
        <w:tc>
          <w:tcPr>
            <w:tcW w:type="dxa" w:w="2635"/>
            <w:shd w:val="clear" w:color="auto" w:fill="CFD3DA"/>
          </w:tcPr>
          <w:p>
            <w:pPr>
              <w:jc w:val="center"/>
            </w:pPr>
            <w:r/>
            <w:r>
              <w:rPr>
                <w:b w:val="0"/>
                <w:sz w:val="20"/>
              </w:rPr>
              <w:t>288 - IFRS 18</w:t>
            </w:r>
          </w:p>
        </w:tc>
        <w:tc>
          <w:tcPr>
            <w:tcW w:type="dxa" w:w="2635"/>
            <w:shd w:val="clear" w:color="auto" w:fill="CFD3DA"/>
          </w:tcPr>
          <w:p>
            <w:pPr>
              <w:jc w:val="center"/>
            </w:pPr>
            <w:r/>
            <w:r>
              <w:rPr>
                <w:b w:val="0"/>
                <w:sz w:val="20"/>
              </w:rPr>
              <w:t>Enikő Baga</w:t>
            </w:r>
          </w:p>
        </w:tc>
        <w:tc>
          <w:tcPr>
            <w:tcW w:type="dxa" w:w="2635"/>
            <w:shd w:val="clear" w:color="auto" w:fill="CFD3DA"/>
          </w:tcPr>
          <w:p>
            <w:pPr>
              <w:jc w:val="center"/>
            </w:pPr>
            <w:r/>
            <w:r>
              <w:rPr>
                <w:b w:val="0"/>
                <w:sz w:val="20"/>
              </w:rPr>
              <w:t>Finance – Accounting &amp; Financial Reporting</w:t>
            </w:r>
          </w:p>
        </w:tc>
        <w:tc>
          <w:tcPr>
            <w:tcW w:type="dxa" w:w="2635"/>
            <w:shd w:val="clear" w:color="auto" w:fill="CFD3DA"/>
          </w:tcPr>
          <w:p>
            <w:pPr>
              <w:jc w:val="center"/>
            </w:pPr>
            <w:r/>
            <w:r>
              <w:rPr>
                <w:b w:val="0"/>
                <w:sz w:val="20"/>
              </w:rPr>
              <w:t>Internal</w:t>
            </w:r>
          </w:p>
        </w:tc>
      </w:tr>
    </w:tbl>
    <w:p/>
    <w:tbl>
      <w:tblPr>
        <w:tblW w:type="auto" w:w="0"/>
        <w:jc w:val="center"/>
        <w:tblLook w:firstColumn="1" w:firstRow="1" w:lastColumn="0" w:lastRow="0" w:noHBand="0" w:noVBand="1" w:val="04A0"/>
      </w:tblPr>
      <w:tblGrid>
        <w:gridCol w:w="5270"/>
        <w:gridCol w:w="5270"/>
      </w:tblGrid>
      <w:tr>
        <w:tc>
          <w:tcPr>
            <w:tcW w:type="dxa" w:w="5270"/>
            <w:shd w:val="clear" w:color="auto" w:fill="8EA9DB"/>
          </w:tcPr>
          <w:p>
            <w:pPr>
              <w:jc w:val="center"/>
            </w:pPr>
            <w:r/>
            <w:r>
              <w:rPr>
                <w:b/>
                <w:color w:val="FFFFFF"/>
                <w:sz w:val="20"/>
              </w:rPr>
              <w:t>What's the problem today?</w:t>
            </w:r>
          </w:p>
          <w:p>
            <w:pPr>
              <w:jc w:val="center"/>
            </w:pPr>
            <w:r>
              <w:rPr>
                <w:b/>
                <w:color w:val="FFFFFF"/>
                <w:sz w:val="20"/>
              </w:rPr>
              <w:t>(Current Situation and Pain Points)</w:t>
            </w:r>
          </w:p>
        </w:tc>
        <w:tc>
          <w:tcPr>
            <w:tcW w:type="dxa" w:w="5270"/>
            <w:shd w:val="clear" w:color="auto" w:fill="8EA9DB"/>
          </w:tcPr>
          <w:p>
            <w:pPr>
              <w:jc w:val="center"/>
            </w:pPr>
            <w:r/>
            <w:r>
              <w:rPr>
                <w:b/>
                <w:color w:val="FFFFFF"/>
                <w:sz w:val="20"/>
              </w:rPr>
              <w:t>What are we trying to achieve?</w:t>
            </w:r>
          </w:p>
          <w:p>
            <w:pPr>
              <w:jc w:val="center"/>
            </w:pPr>
            <w:r>
              <w:rPr>
                <w:b/>
                <w:color w:val="FFFFFF"/>
                <w:sz w:val="20"/>
              </w:rPr>
              <w:t>(Business Objectives and High-Level Demand Description)</w:t>
            </w:r>
          </w:p>
        </w:tc>
      </w:tr>
      <w:tr>
        <w:tc>
          <w:tcPr>
            <w:tcW w:type="dxa" w:w="5270"/>
            <w:shd w:val="clear" w:color="auto" w:fill="CFD3DA"/>
          </w:tcPr>
          <w:p>
            <w:pPr/>
            <w:r/>
            <w:r>
              <w:rPr>
                <w:sz w:val="19"/>
              </w:rPr>
              <w:t>• No fixed structure today, so different teams present profit &amp; loss differently → hard to compare across the company or with peers.</w:t>
            </w:r>
          </w:p>
          <w:p>
            <w:pPr/>
            <w:r>
              <w:rPr>
                <w:sz w:val="19"/>
              </w:rPr>
              <w:t>• No clear, approved process for our “adjusted” performance numbers shown to investors → risk once we must explain how they're calculated.</w:t>
            </w:r>
          </w:p>
          <w:p>
            <w:pPr/>
            <w:r>
              <w:rPr>
                <w:sz w:val="19"/>
              </w:rPr>
              <w:t>• Our systems don't automatically sort P&amp;L items into the 3 new required groups: Operating, Investing, Financing.</w:t>
            </w:r>
          </w:p>
          <w:p>
            <w:pPr/>
            <w:r>
              <w:rPr>
                <w:sz w:val="19"/>
              </w:rPr>
              <w:t>• Adjusted performance numbers are built by hand in spreadsheets — slow, error-prone, and hard for auditors to check.</w:t>
            </w:r>
          </w:p>
          <w:p>
            <w:pPr/>
            <w:r>
              <w:rPr>
                <w:sz w:val="19"/>
              </w:rPr>
              <w:t>• Business units group similar costs differently; the new rule needs much more consistency here.</w:t>
            </w:r>
          </w:p>
          <w:p>
            <w:pPr/>
            <w:r>
              <w:rPr>
                <w:sz w:val="19"/>
              </w:rPr>
              <w:t>• No dedicated time or budget yet assigned to prepare for this change.</w:t>
            </w:r>
          </w:p>
          <w:p>
            <w:pPr/>
            <w:r>
              <w:rPr>
                <w:sz w:val="19"/>
              </w:rPr>
              <w:t>• We haven't yet talked to our external auditors about how we'll make this change or restate last year's numbers.</w:t>
            </w:r>
          </w:p>
        </w:tc>
        <w:tc>
          <w:tcPr>
            <w:tcW w:type="dxa" w:w="5270"/>
            <w:shd w:val="clear" w:color="auto" w:fill="CFD3DA"/>
          </w:tcPr>
          <w:p>
            <w:pPr/>
            <w:r/>
            <w:r>
              <w:rPr>
                <w:sz w:val="19"/>
              </w:rPr>
              <w:t>• Be fully ready for IFRS 18 before it's mandatory (years starting on/after 1 Jan 2027; last year's figures restated from 1 Jan 2026).</w:t>
            </w:r>
          </w:p>
          <w:p>
            <w:pPr/>
            <w:r>
              <w:rPr>
                <w:sz w:val="19"/>
              </w:rPr>
              <w:t>• Check what needs to change in our chart of accounts, reporting system and templates for the 3 new groups &amp; 2 new required subtotals.</w:t>
            </w:r>
          </w:p>
          <w:p>
            <w:pPr/>
            <w:r>
              <w:rPr>
                <w:sz w:val="19"/>
              </w:rPr>
              <w:t>• Set clear, approved rules for our “adjusted” performance numbers, incl. showing how they connect back to the official numbers.</w:t>
            </w:r>
          </w:p>
          <w:p>
            <w:pPr/>
            <w:r>
              <w:rPr>
                <w:sz w:val="19"/>
              </w:rPr>
              <w:t>• Update our P&amp;L structure, account mapping and reporting system so the new groups/subtotals are produced automatically.</w:t>
            </w:r>
          </w:p>
          <w:p>
            <w:pPr/>
            <w:r>
              <w:rPr>
                <w:sz w:val="19"/>
              </w:rPr>
              <w:t>• Update official templates, checklists and cash-flow statement; train Finance/Controlling/Investor Relations.</w:t>
            </w:r>
          </w:p>
          <w:p>
            <w:pPr/>
            <w:r>
              <w:rPr>
                <w:sz w:val="19"/>
              </w:rPr>
              <w:t>• Run a test/dry-run reporting cycle and work with our external auditors on how we make the change.</w:t>
            </w:r>
          </w:p>
        </w:tc>
      </w:tr>
    </w:tbl>
    <w:p/>
    <w:tbl>
      <w:tblPr>
        <w:tblW w:type="auto" w:w="0"/>
        <w:tblLook w:firstColumn="1" w:firstRow="1" w:lastColumn="0" w:lastRow="0" w:noHBand="0" w:noVBand="1" w:val="04A0"/>
      </w:tblPr>
      <w:tblGrid>
        <w:gridCol w:w="10540"/>
      </w:tblGrid>
      <w:tr>
        <w:tc>
          <w:tcPr>
            <w:tcW w:type="dxa" w:w="10540"/>
            <w:shd w:val="clear" w:color="auto" w:fill="8EA9DB"/>
          </w:tcPr>
          <w:p>
            <w:pPr>
              <w:jc w:val="center"/>
            </w:pPr>
            <w:r/>
            <w:r>
              <w:rPr>
                <w:b/>
                <w:color w:val="FFFFFF"/>
                <w:sz w:val="20"/>
              </w:rPr>
              <w:t>Benefits &amp; Stakeholders &amp; Allocations</w:t>
            </w:r>
          </w:p>
        </w:tc>
      </w:tr>
    </w:tbl>
    <w:tbl>
      <w:tblPr>
        <w:tblW w:type="auto" w:w="0"/>
        <w:jc w:val="center"/>
        <w:tblLook w:firstColumn="1" w:firstRow="1" w:lastColumn="0" w:lastRow="0" w:noHBand="0" w:noVBand="1" w:val="04A0"/>
      </w:tblPr>
      <w:tblGrid>
        <w:gridCol w:w="2635"/>
        <w:gridCol w:w="2635"/>
        <w:gridCol w:w="2635"/>
        <w:gridCol w:w="2635"/>
      </w:tblGrid>
      <w:tr>
        <w:tc>
          <w:tcPr>
            <w:tcW w:type="dxa" w:w="2635"/>
            <w:shd w:val="clear" w:color="auto" w:fill="F4B183"/>
          </w:tcPr>
          <w:p>
            <w:pPr>
              <w:jc w:val="center"/>
            </w:pPr>
            <w:r/>
            <w:r>
              <w:rPr>
                <w:b/>
                <w:sz w:val="20"/>
              </w:rPr>
              <w:t>Qualitative Benefits</w:t>
            </w:r>
          </w:p>
        </w:tc>
        <w:tc>
          <w:tcPr>
            <w:tcW w:type="dxa" w:w="2635"/>
            <w:shd w:val="clear" w:color="auto" w:fill="F4B183"/>
          </w:tcPr>
          <w:p>
            <w:pPr>
              <w:jc w:val="center"/>
            </w:pPr>
            <w:r/>
            <w:r>
              <w:rPr>
                <w:b/>
                <w:sz w:val="20"/>
              </w:rPr>
              <w:t>Quantitative Benefits</w:t>
            </w:r>
          </w:p>
        </w:tc>
        <w:tc>
          <w:tcPr>
            <w:tcW w:type="dxa" w:w="2635"/>
            <w:shd w:val="clear" w:color="auto" w:fill="F4B183"/>
          </w:tcPr>
          <w:p>
            <w:pPr>
              <w:jc w:val="center"/>
            </w:pPr>
            <w:r/>
            <w:r>
              <w:rPr>
                <w:b/>
                <w:sz w:val="20"/>
              </w:rPr>
              <w:t>Stakeholders</w:t>
            </w:r>
          </w:p>
        </w:tc>
        <w:tc>
          <w:tcPr>
            <w:tcW w:type="dxa" w:w="2635"/>
            <w:shd w:val="clear" w:color="auto" w:fill="F4B183"/>
          </w:tcPr>
          <w:p>
            <w:pPr>
              <w:jc w:val="center"/>
            </w:pPr>
            <w:r/>
            <w:r>
              <w:rPr>
                <w:b/>
                <w:sz w:val="20"/>
              </w:rPr>
              <w:t>Allocations Demand</w:t>
            </w:r>
          </w:p>
        </w:tc>
      </w:tr>
      <w:tr>
        <w:tc>
          <w:tcPr>
            <w:tcW w:type="dxa" w:w="2635"/>
            <w:shd w:val="clear" w:color="auto" w:fill="CFD3DA"/>
          </w:tcPr>
          <w:p>
            <w:pPr/>
            <w:r/>
            <w:r>
              <w:rPr>
                <w:sz w:val="19"/>
              </w:rPr>
              <w:t>• We follow the new mandatory rule, avoiding audit and regulatory risk.</w:t>
            </w:r>
          </w:p>
          <w:p>
            <w:pPr/>
            <w:r>
              <w:rPr>
                <w:sz w:val="19"/>
              </w:rPr>
              <w:t>• Our financial statements become easier to compare, for our teams and investors.</w:t>
            </w:r>
          </w:p>
          <w:p>
            <w:pPr/>
            <w:r>
              <w:rPr>
                <w:sz w:val="19"/>
              </w:rPr>
              <w:t>• Clearer, better-documented rules for our adjusted performance numbers.</w:t>
            </w:r>
          </w:p>
          <w:p>
            <w:pPr/>
            <w:r>
              <w:rPr>
                <w:sz w:val="19"/>
              </w:rPr>
              <w:t>• Simpler, more consistent P&amp;L for both official and internal reporting.</w:t>
            </w:r>
          </w:p>
          <w:p>
            <w:pPr/>
            <w:r>
              <w:rPr>
                <w:sz w:val="19"/>
              </w:rPr>
              <w:t>• Less manual work and fewer mistakes at closing time.</w:t>
            </w:r>
          </w:p>
        </w:tc>
        <w:tc>
          <w:tcPr>
            <w:tcW w:type="dxa" w:w="2635"/>
            <w:shd w:val="clear" w:color="auto" w:fill="CFD3DA"/>
          </w:tcPr>
          <w:p>
            <w:pPr/>
            <w:r/>
            <w:r>
              <w:rPr>
                <w:sz w:val="19"/>
              </w:rPr>
              <w:t>• Less manual work each closing cycle once the system sorts things automatically (exact savings TBD after detailed review).</w:t>
            </w:r>
          </w:p>
          <w:p>
            <w:pPr/>
            <w:r>
              <w:rPr>
                <w:sz w:val="19"/>
              </w:rPr>
              <w:t>• We avoid extra costs (advisors, rushed fixes, audit findings) from leaving this until the last minute.</w:t>
            </w:r>
          </w:p>
          <w:p>
            <w:pPr/>
            <w:r>
              <w:rPr>
                <w:sz w:val="19"/>
              </w:rPr>
              <w:t>• Exact figures to be confirmed after the initial review.</w:t>
            </w:r>
          </w:p>
        </w:tc>
        <w:tc>
          <w:tcPr>
            <w:tcW w:type="dxa" w:w="2635"/>
            <w:shd w:val="clear" w:color="auto" w:fill="CFD3DA"/>
          </w:tcPr>
          <w:p>
            <w:pPr/>
            <w:r/>
            <w:r>
              <w:rPr>
                <w:sz w:val="19"/>
              </w:rPr>
              <w:t>• Group Finance / Corporate Accounting (owner)</w:t>
            </w:r>
          </w:p>
          <w:p>
            <w:pPr/>
            <w:r>
              <w:rPr>
                <w:sz w:val="19"/>
              </w:rPr>
              <w:t>• Group Controlling / FP&amp;A</w:t>
            </w:r>
          </w:p>
          <w:p>
            <w:pPr/>
            <w:r>
              <w:rPr>
                <w:sz w:val="19"/>
              </w:rPr>
              <w:t>• Investor Relations</w:t>
            </w:r>
          </w:p>
          <w:p>
            <w:pPr/>
            <w:r>
              <w:rPr>
                <w:sz w:val="19"/>
              </w:rPr>
              <w:t>• IT / Reporting Systems team</w:t>
            </w:r>
          </w:p>
          <w:p>
            <w:pPr/>
            <w:r>
              <w:rPr>
                <w:sz w:val="19"/>
              </w:rPr>
              <w:t>• Internal Audit &amp; External Auditors</w:t>
            </w:r>
          </w:p>
          <w:p>
            <w:pPr/>
            <w:r>
              <w:rPr>
                <w:sz w:val="19"/>
              </w:rPr>
              <w:t>• Local Finance teams (Business Units)</w:t>
            </w:r>
          </w:p>
          <w:p>
            <w:pPr/>
            <w:r>
              <w:rPr>
                <w:sz w:val="19"/>
              </w:rPr>
              <w:t>• Legal / Company Secretary (if applicable)</w:t>
            </w:r>
          </w:p>
        </w:tc>
        <w:tc>
          <w:tcPr>
            <w:tcW w:type="dxa" w:w="2635"/>
            <w:shd w:val="clear" w:color="auto" w:fill="CFD3DA"/>
          </w:tcPr>
          <w:p>
            <w:r/>
            <w:r>
              <w:rPr>
                <w:b w:val="0"/>
                <w:sz w:val="19"/>
              </w:rPr>
              <w:t>Demand effort CIT (PD):</w:t>
            </w:r>
          </w:p>
          <w:p>
            <w:r>
              <w:rPr>
                <w:b w:val="0"/>
                <w:sz w:val="19"/>
              </w:rPr>
              <w:t>~40 person-days (rough estimate; updating IT systems, accounts, reports)</w:t>
            </w:r>
          </w:p>
          <w:p>
            <w:r>
              <w:rPr>
                <w:b w:val="0"/>
                <w:sz w:val="19"/>
              </w:rPr>
            </w:r>
          </w:p>
          <w:p>
            <w:r>
              <w:rPr>
                <w:b w:val="0"/>
                <w:sz w:val="19"/>
              </w:rPr>
              <w:t>Demand effort BG (PD):</w:t>
            </w:r>
          </w:p>
          <w:p>
            <w:r>
              <w:rPr>
                <w:b w:val="0"/>
                <w:sz w:val="19"/>
              </w:rPr>
              <w:t>~25 person-days (rough estimate; reviewing changes, setting rules, training)</w:t>
            </w:r>
          </w:p>
        </w:tc>
      </w:tr>
    </w:tbl>
    <w:p/>
    <w:p>
      <w:r>
        <w:rPr>
          <w:i/>
          <w:sz w:val="18"/>
        </w:rPr>
        <w:t>Note: This is a first draft prepared to unblock kickoff. The effort estimates under “Allocations Demand” and the quantitative benefits are placeholders and should be reviewed and confirmed by the Demand Manager and the relevant IT/Finance leads before formal approval.</w:t>
      </w:r>
    </w:p>
    <w:p>
      <w:pPr>
        <w:jc w:val="right"/>
      </w:pPr>
      <w:r>
        <w:rPr>
          <w:b/>
          <w:color w:val="1F3B73"/>
        </w:rPr>
        <w:t>INNOVATING TOGETHER</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