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73"/>
          <w:sz w:val="48"/>
        </w:rPr>
        <w:t>Demand Charter - 288 - IFRS 18</w:t>
      </w:r>
    </w:p>
    <w:p>
      <w:r>
        <w:t>Knowledge-base copy of the filled-in Demand Charter for demand 288 (IFRS 18 Implementation). See also the .md and .pptx versions in this folder; all three contain the same content.</w:t>
      </w:r>
    </w:p>
    <w:tbl>
      <w:tblPr>
        <w:tblW w:type="auto" w:w="0"/>
        <w:jc w:val="center"/>
        <w:tblLook w:firstColumn="1" w:firstRow="1" w:lastColumn="0" w:lastRow="0" w:noHBand="0" w:noVBand="1" w:val="04A0"/>
      </w:tblPr>
      <w:tblGrid>
        <w:gridCol w:w="2635"/>
        <w:gridCol w:w="2635"/>
        <w:gridCol w:w="2635"/>
        <w:gridCol w:w="2635"/>
      </w:tblGrid>
      <w:tr>
        <w:tc>
          <w:tcPr>
            <w:tcW w:type="dxa" w:w="2635"/>
            <w:shd w:val="clear" w:color="auto" w:fill="8EA9DB"/>
          </w:tcPr>
          <w:p>
            <w:pPr>
              <w:jc w:val="center"/>
            </w:pPr>
            <w:r/>
            <w:r>
              <w:rPr>
                <w:b/>
                <w:color w:val="FFFFFF"/>
                <w:sz w:val="20"/>
              </w:rPr>
              <w:t>Titel</w:t>
            </w:r>
          </w:p>
        </w:tc>
        <w:tc>
          <w:tcPr>
            <w:tcW w:type="dxa" w:w="2635"/>
            <w:shd w:val="clear" w:color="auto" w:fill="8EA9DB"/>
          </w:tcPr>
          <w:p>
            <w:pPr>
              <w:jc w:val="center"/>
            </w:pPr>
            <w:r/>
            <w:r>
              <w:rPr>
                <w:b/>
                <w:color w:val="FFFFFF"/>
                <w:sz w:val="20"/>
              </w:rPr>
              <w:t>Demand Manager</w:t>
            </w:r>
          </w:p>
        </w:tc>
        <w:tc>
          <w:tcPr>
            <w:tcW w:type="dxa" w:w="2635"/>
            <w:shd w:val="clear" w:color="auto" w:fill="8EA9DB"/>
          </w:tcPr>
          <w:p>
            <w:pPr>
              <w:jc w:val="center"/>
            </w:pPr>
            <w:r/>
            <w:r>
              <w:rPr>
                <w:b/>
                <w:color w:val="FFFFFF"/>
                <w:sz w:val="20"/>
              </w:rPr>
              <w:t>E2E / Core Proc.</w:t>
            </w:r>
          </w:p>
        </w:tc>
        <w:tc>
          <w:tcPr>
            <w:tcW w:type="dxa" w:w="2635"/>
            <w:shd w:val="clear" w:color="auto" w:fill="8EA9DB"/>
          </w:tcPr>
          <w:p>
            <w:pPr>
              <w:jc w:val="center"/>
            </w:pPr>
            <w:r/>
            <w:r>
              <w:rPr>
                <w:b/>
                <w:color w:val="FFFFFF"/>
                <w:sz w:val="20"/>
              </w:rPr>
              <w:t>Security Classif.</w:t>
            </w:r>
          </w:p>
        </w:tc>
      </w:tr>
      <w:tr>
        <w:tc>
          <w:tcPr>
            <w:tcW w:type="dxa" w:w="2635"/>
            <w:shd w:val="clear" w:color="auto" w:fill="CFD3DA"/>
          </w:tcPr>
          <w:p>
            <w:pPr>
              <w:jc w:val="center"/>
            </w:pPr>
            <w:r/>
            <w:r>
              <w:rPr>
                <w:b w:val="0"/>
                <w:sz w:val="20"/>
              </w:rPr>
              <w:t>288 - IFRS 18</w:t>
            </w:r>
          </w:p>
        </w:tc>
        <w:tc>
          <w:tcPr>
            <w:tcW w:type="dxa" w:w="2635"/>
            <w:shd w:val="clear" w:color="auto" w:fill="CFD3DA"/>
          </w:tcPr>
          <w:p>
            <w:pPr>
              <w:jc w:val="center"/>
            </w:pPr>
            <w:r/>
            <w:r>
              <w:rPr>
                <w:b w:val="0"/>
                <w:sz w:val="20"/>
              </w:rPr>
              <w:t>Enikő Baga</w:t>
            </w:r>
          </w:p>
        </w:tc>
        <w:tc>
          <w:tcPr>
            <w:tcW w:type="dxa" w:w="2635"/>
            <w:shd w:val="clear" w:color="auto" w:fill="CFD3DA"/>
          </w:tcPr>
          <w:p>
            <w:pPr>
              <w:jc w:val="center"/>
            </w:pPr>
            <w:r/>
            <w:r>
              <w:rPr>
                <w:b w:val="0"/>
                <w:sz w:val="20"/>
              </w:rPr>
              <w:t>Finance – Accounting &amp; Financial Reporting (R2R)</w:t>
            </w:r>
          </w:p>
        </w:tc>
        <w:tc>
          <w:tcPr>
            <w:tcW w:type="dxa" w:w="2635"/>
            <w:shd w:val="clear" w:color="auto" w:fill="CFD3DA"/>
          </w:tcPr>
          <w:p>
            <w:pPr>
              <w:jc w:val="center"/>
            </w:pPr>
            <w:r/>
            <w:r>
              <w:rPr>
                <w:b w:val="0"/>
                <w:sz w:val="20"/>
              </w:rPr>
              <w:t>Internal</w:t>
            </w:r>
          </w:p>
        </w:tc>
      </w:tr>
    </w:tbl>
    <w:p/>
    <w:tbl>
      <w:tblPr>
        <w:tblW w:type="auto" w:w="0"/>
        <w:jc w:val="center"/>
        <w:tblLook w:firstColumn="1" w:firstRow="1" w:lastColumn="0" w:lastRow="0" w:noHBand="0" w:noVBand="1" w:val="04A0"/>
      </w:tblPr>
      <w:tblGrid>
        <w:gridCol w:w="5270"/>
        <w:gridCol w:w="5270"/>
      </w:tblGrid>
      <w:tr>
        <w:tc>
          <w:tcPr>
            <w:tcW w:type="dxa" w:w="5270"/>
            <w:shd w:val="clear" w:color="auto" w:fill="8EA9DB"/>
          </w:tcPr>
          <w:p>
            <w:pPr>
              <w:jc w:val="center"/>
            </w:pPr>
            <w:r/>
            <w:r>
              <w:rPr>
                <w:b/>
                <w:color w:val="FFFFFF"/>
                <w:sz w:val="20"/>
              </w:rPr>
              <w:t>Current Situation and Pain Points</w:t>
            </w:r>
          </w:p>
        </w:tc>
        <w:tc>
          <w:tcPr>
            <w:tcW w:type="dxa" w:w="5270"/>
            <w:shd w:val="clear" w:color="auto" w:fill="8EA9DB"/>
          </w:tcPr>
          <w:p>
            <w:pPr>
              <w:jc w:val="center"/>
            </w:pPr>
            <w:r/>
            <w:r>
              <w:rPr>
                <w:b/>
                <w:color w:val="FFFFFF"/>
                <w:sz w:val="20"/>
              </w:rPr>
              <w:t>Business Objectives and High-Level Demand Description</w:t>
            </w:r>
          </w:p>
        </w:tc>
      </w:tr>
      <w:tr>
        <w:tc>
          <w:tcPr>
            <w:tcW w:type="dxa" w:w="5270"/>
            <w:shd w:val="clear" w:color="auto" w:fill="CFD3DA"/>
          </w:tcPr>
          <w:p>
            <w:pPr/>
            <w:r/>
            <w:r>
              <w:rPr>
                <w:sz w:val="19"/>
              </w:rPr>
              <w:t>• IAS 1 today does not mandate P&amp;L categories/subtotals → inconsistent presentation across entities and limited peer comparability.</w:t>
            </w:r>
          </w:p>
          <w:p>
            <w:pPr/>
            <w:r>
              <w:rPr>
                <w:sz w:val="19"/>
              </w:rPr>
              <w:t>• No formal governance for management-defined performance measures (MPMs) used in investor communications → audit/compliance risk.</w:t>
            </w:r>
          </w:p>
          <w:p>
            <w:pPr/>
            <w:r>
              <w:rPr>
                <w:sz w:val="19"/>
              </w:rPr>
              <w:t>• Chart of accounts and consolidation/reporting system not structured to auto-classify P&amp;L lines into operating / investing / financing.</w:t>
            </w:r>
          </w:p>
          <w:p>
            <w:pPr/>
            <w:r>
              <w:rPr>
                <w:sz w:val="19"/>
              </w:rPr>
              <w:t>• Alternative performance measures produced via manual spreadsheets with limited audit trail.</w:t>
            </w:r>
          </w:p>
          <w:p>
            <w:pPr/>
            <w:r>
              <w:rPr>
                <w:sz w:val="19"/>
              </w:rPr>
              <w:t>• Inconsistent aggregation/disaggregation of line items across business units.</w:t>
            </w:r>
          </w:p>
          <w:p>
            <w:pPr/>
            <w:r>
              <w:rPr>
                <w:sz w:val="19"/>
              </w:rPr>
              <w:t>• No dedicated budget/resourcing yet assigned for IFRS 18 readiness.</w:t>
            </w:r>
          </w:p>
          <w:p>
            <w:pPr/>
            <w:r>
              <w:rPr>
                <w:sz w:val="19"/>
              </w:rPr>
              <w:t>• External auditors not yet formally engaged on transition approach or comparative restatement.</w:t>
            </w:r>
          </w:p>
        </w:tc>
        <w:tc>
          <w:tcPr>
            <w:tcW w:type="dxa" w:w="5270"/>
            <w:shd w:val="clear" w:color="auto" w:fill="CFD3DA"/>
          </w:tcPr>
          <w:p>
            <w:pPr/>
            <w:r/>
            <w:r>
              <w:rPr>
                <w:sz w:val="19"/>
              </w:rPr>
              <w:t>• Achieve full IFRS 18 compliance before the mandatory effective date (periods beginning ≥ 1 Jan 2027; comparatives from 1 Jan 2026).</w:t>
            </w:r>
          </w:p>
          <w:p>
            <w:pPr/>
            <w:r>
              <w:rPr>
                <w:sz w:val="19"/>
              </w:rPr>
              <w:t>• Gap assessment of chart of accounts, consolidation system and disclosure templates vs. the 3 new categories &amp; 2 new subtotals.</w:t>
            </w:r>
          </w:p>
          <w:p>
            <w:pPr/>
            <w:r>
              <w:rPr>
                <w:sz w:val="19"/>
              </w:rPr>
              <w:t>• Define &amp; govern Management-Defined Performance Measures (MPMs), incl. required reconciliation disclosures.</w:t>
            </w:r>
          </w:p>
          <w:p>
            <w:pPr/>
            <w:r>
              <w:rPr>
                <w:sz w:val="19"/>
              </w:rPr>
              <w:t>• Reconfigure P&amp;L structure, CoA mapping and consolidation tool for native category/subtotal reporting.</w:t>
            </w:r>
          </w:p>
          <w:p>
            <w:pPr/>
            <w:r>
              <w:rPr>
                <w:sz w:val="19"/>
              </w:rPr>
              <w:t>• Update statutory templates, disclosure checklists and cash-flow reconciliation logic; train Finance/Controlling/IR.</w:t>
            </w:r>
          </w:p>
          <w:p>
            <w:pPr/>
            <w:r>
              <w:rPr>
                <w:sz w:val="19"/>
              </w:rPr>
              <w:t>• Run a parallel/dry-run reporting cycle and align with external auditors on the transition approach.</w:t>
            </w:r>
          </w:p>
        </w:tc>
      </w:tr>
    </w:tbl>
    <w:p/>
    <w:tbl>
      <w:tblPr>
        <w:tblW w:type="auto" w:w="0"/>
        <w:tblLook w:firstColumn="1" w:firstRow="1" w:lastColumn="0" w:lastRow="0" w:noHBand="0" w:noVBand="1" w:val="04A0"/>
      </w:tblPr>
      <w:tblGrid>
        <w:gridCol w:w="10540"/>
      </w:tblGrid>
      <w:tr>
        <w:tc>
          <w:tcPr>
            <w:tcW w:type="dxa" w:w="10540"/>
            <w:shd w:val="clear" w:color="auto" w:fill="8EA9DB"/>
          </w:tcPr>
          <w:p>
            <w:pPr>
              <w:jc w:val="center"/>
            </w:pPr>
            <w:r/>
            <w:r>
              <w:rPr>
                <w:b/>
                <w:color w:val="FFFFFF"/>
                <w:sz w:val="20"/>
              </w:rPr>
              <w:t>Benefits &amp; Stakeholders &amp; Allocations</w:t>
            </w:r>
          </w:p>
        </w:tc>
      </w:tr>
    </w:tbl>
    <w:tbl>
      <w:tblPr>
        <w:tblW w:type="auto" w:w="0"/>
        <w:jc w:val="center"/>
        <w:tblLook w:firstColumn="1" w:firstRow="1" w:lastColumn="0" w:lastRow="0" w:noHBand="0" w:noVBand="1" w:val="04A0"/>
      </w:tblPr>
      <w:tblGrid>
        <w:gridCol w:w="2635"/>
        <w:gridCol w:w="2635"/>
        <w:gridCol w:w="2635"/>
        <w:gridCol w:w="2635"/>
      </w:tblGrid>
      <w:tr>
        <w:tc>
          <w:tcPr>
            <w:tcW w:type="dxa" w:w="2635"/>
            <w:shd w:val="clear" w:color="auto" w:fill="F4B183"/>
          </w:tcPr>
          <w:p>
            <w:pPr>
              <w:jc w:val="center"/>
            </w:pPr>
            <w:r/>
            <w:r>
              <w:rPr>
                <w:b/>
                <w:sz w:val="20"/>
              </w:rPr>
              <w:t>Qualitative Benefits</w:t>
            </w:r>
          </w:p>
        </w:tc>
        <w:tc>
          <w:tcPr>
            <w:tcW w:type="dxa" w:w="2635"/>
            <w:shd w:val="clear" w:color="auto" w:fill="F4B183"/>
          </w:tcPr>
          <w:p>
            <w:pPr>
              <w:jc w:val="center"/>
            </w:pPr>
            <w:r/>
            <w:r>
              <w:rPr>
                <w:b/>
                <w:sz w:val="20"/>
              </w:rPr>
              <w:t>Quantitative Benefits</w:t>
            </w:r>
          </w:p>
        </w:tc>
        <w:tc>
          <w:tcPr>
            <w:tcW w:type="dxa" w:w="2635"/>
            <w:shd w:val="clear" w:color="auto" w:fill="F4B183"/>
          </w:tcPr>
          <w:p>
            <w:pPr>
              <w:jc w:val="center"/>
            </w:pPr>
            <w:r/>
            <w:r>
              <w:rPr>
                <w:b/>
                <w:sz w:val="20"/>
              </w:rPr>
              <w:t>Stakeholders</w:t>
            </w:r>
          </w:p>
        </w:tc>
        <w:tc>
          <w:tcPr>
            <w:tcW w:type="dxa" w:w="2635"/>
            <w:shd w:val="clear" w:color="auto" w:fill="F4B183"/>
          </w:tcPr>
          <w:p>
            <w:pPr>
              <w:jc w:val="center"/>
            </w:pPr>
            <w:r/>
            <w:r>
              <w:rPr>
                <w:b/>
                <w:sz w:val="20"/>
              </w:rPr>
              <w:t>Allocations Demand</w:t>
            </w:r>
          </w:p>
        </w:tc>
      </w:tr>
      <w:tr>
        <w:tc>
          <w:tcPr>
            <w:tcW w:type="dxa" w:w="2635"/>
            <w:shd w:val="clear" w:color="auto" w:fill="CFD3DA"/>
          </w:tcPr>
          <w:p>
            <w:pPr/>
            <w:r/>
            <w:r>
              <w:rPr>
                <w:sz w:val="19"/>
              </w:rPr>
              <w:t>• Full compliance with mandatory standard; avoids audit qualification.</w:t>
            </w:r>
          </w:p>
          <w:p>
            <w:pPr/>
            <w:r>
              <w:rPr>
                <w:sz w:val="19"/>
              </w:rPr>
              <w:t>• Improved comparability/transparency for investors via standardized subtotals.</w:t>
            </w:r>
          </w:p>
          <w:p>
            <w:pPr/>
            <w:r>
              <w:rPr>
                <w:sz w:val="19"/>
              </w:rPr>
              <w:t>• Stronger governance/audit trail over non-GAAP measures.</w:t>
            </w:r>
          </w:p>
          <w:p>
            <w:pPr/>
            <w:r>
              <w:rPr>
                <w:sz w:val="19"/>
              </w:rPr>
              <w:t>• Harmonized P&amp;L supports statutory &amp; management reporting.</w:t>
            </w:r>
          </w:p>
          <w:p>
            <w:pPr/>
            <w:r>
              <w:rPr>
                <w:sz w:val="19"/>
              </w:rPr>
              <w:t>• Reduced manual effort/error risk at close.</w:t>
            </w:r>
          </w:p>
        </w:tc>
        <w:tc>
          <w:tcPr>
            <w:tcW w:type="dxa" w:w="2635"/>
            <w:shd w:val="clear" w:color="auto" w:fill="CFD3DA"/>
          </w:tcPr>
          <w:p>
            <w:pPr/>
            <w:r/>
            <w:r>
              <w:rPr>
                <w:sz w:val="19"/>
              </w:rPr>
              <w:t>• Reduced manual closing/adjustment effort per cycle once automated (FTE-days TBD after design phase).</w:t>
            </w:r>
          </w:p>
          <w:p>
            <w:pPr/>
            <w:r>
              <w:rPr>
                <w:sz w:val="19"/>
              </w:rPr>
              <w:t>• Avoidance of one-off remediation costs (advisory, late changes, audit findings) from a rushed transition.</w:t>
            </w:r>
          </w:p>
          <w:p>
            <w:pPr/>
            <w:r>
              <w:rPr>
                <w:sz w:val="19"/>
              </w:rPr>
              <w:t>• Precise figures to be confirmed after gap assessment.</w:t>
            </w:r>
          </w:p>
        </w:tc>
        <w:tc>
          <w:tcPr>
            <w:tcW w:type="dxa" w:w="2635"/>
            <w:shd w:val="clear" w:color="auto" w:fill="CFD3DA"/>
          </w:tcPr>
          <w:p>
            <w:pPr/>
            <w:r/>
            <w:r>
              <w:rPr>
                <w:sz w:val="19"/>
              </w:rPr>
              <w:t>• Group Finance / Corporate Accounting (owner)</w:t>
            </w:r>
          </w:p>
          <w:p>
            <w:pPr/>
            <w:r>
              <w:rPr>
                <w:sz w:val="19"/>
              </w:rPr>
              <w:t>• Group Controlling / FP&amp;A</w:t>
            </w:r>
          </w:p>
          <w:p>
            <w:pPr/>
            <w:r>
              <w:rPr>
                <w:sz w:val="19"/>
              </w:rPr>
              <w:t>• Investor Relations</w:t>
            </w:r>
          </w:p>
          <w:p>
            <w:pPr/>
            <w:r>
              <w:rPr>
                <w:sz w:val="19"/>
              </w:rPr>
              <w:t>• Consolidation &amp; Reporting Systems / IT</w:t>
            </w:r>
          </w:p>
          <w:p>
            <w:pPr/>
            <w:r>
              <w:rPr>
                <w:sz w:val="19"/>
              </w:rPr>
              <w:t>• Internal Audit &amp; External Auditors</w:t>
            </w:r>
          </w:p>
          <w:p>
            <w:pPr/>
            <w:r>
              <w:rPr>
                <w:sz w:val="19"/>
              </w:rPr>
              <w:t>• Business Unit Controllers</w:t>
            </w:r>
          </w:p>
          <w:p>
            <w:pPr/>
            <w:r>
              <w:rPr>
                <w:sz w:val="19"/>
              </w:rPr>
              <w:t>• Company Secretary / Legal (if applicable)</w:t>
            </w:r>
          </w:p>
        </w:tc>
        <w:tc>
          <w:tcPr>
            <w:tcW w:type="dxa" w:w="2635"/>
            <w:shd w:val="clear" w:color="auto" w:fill="CFD3DA"/>
          </w:tcPr>
          <w:p>
            <w:r/>
            <w:r>
              <w:rPr>
                <w:b w:val="0"/>
                <w:sz w:val="19"/>
              </w:rPr>
              <w:t>Demand effort CIT (PD):</w:t>
            </w:r>
          </w:p>
          <w:p>
            <w:r>
              <w:rPr>
                <w:b w:val="0"/>
                <w:sz w:val="19"/>
              </w:rPr>
              <w:t>~40 PD (illustrative; IT/consolidation system config, CoA mapping, reports)</w:t>
            </w:r>
          </w:p>
          <w:p>
            <w:r>
              <w:rPr>
                <w:b w:val="0"/>
                <w:sz w:val="19"/>
              </w:rPr>
            </w:r>
          </w:p>
          <w:p>
            <w:r>
              <w:rPr>
                <w:b w:val="0"/>
                <w:sz w:val="19"/>
              </w:rPr>
              <w:t>Demand effort BG (PD):</w:t>
            </w:r>
          </w:p>
          <w:p>
            <w:r>
              <w:rPr>
                <w:b w:val="0"/>
                <w:sz w:val="19"/>
              </w:rPr>
              <w:t>~25 PD (illustrative; gap assessment, MPM governance, policy, training)</w:t>
            </w:r>
          </w:p>
        </w:tc>
      </w:tr>
    </w:tbl>
    <w:p/>
    <w:p>
      <w:r>
        <w:rPr>
          <w:i/>
          <w:sz w:val="18"/>
        </w:rPr>
        <w:t>Note: This is a first draft prepared to unblock kickoff. The effort estimates under “Allocations Demand” and the quantitative benefits are placeholders and should be reviewed and confirmed by the Demand Manager and the relevant IT/Finance leads before formal approval.</w:t>
      </w:r>
    </w:p>
    <w:p>
      <w:pPr>
        <w:jc w:val="right"/>
      </w:pPr>
      <w:r>
        <w:rPr>
          <w:b/>
          <w:color w:val="1F3B73"/>
        </w:rPr>
        <w:t>INNOVATING TOGETHER</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