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bookmarkStart w:colFirst="0" w:colLast="0" w:name="_1ow18z1ir9yy" w:id="0"/>
      <w:bookmarkEnd w:id="0"/>
      <w:r w:rsidDel="00000000" w:rsidR="00000000" w:rsidRPr="00000000">
        <w:rPr>
          <w:rtl w:val="0"/>
        </w:rPr>
        <w:t xml:space="preserve">Демографическая пирамида РФ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00613" cy="49517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4951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Показатели разбиения демографической пирамиды: процент населения России за 2025 год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 составления: Определить разделение населения России за 2025 год по возрасту и полу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Вид декомпозиции: Структурная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Количество уровней: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Возраст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Критерии для разбиения уровня: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Пол: мужчины/женщины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Возраст: от 0 до 100 с разделением по 5 лет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Порядок построения: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корневой системы: население страны за определенный период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критериев: возраст и пол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Разбиение по критериям: сначала на мужчин и женщин, затем каждую группу на возраст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правил декомпозиции: единый критерий, отсутствие пересечений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Остановка на достаточном уровне: получение данных для каждой возрастно-половой группы и построение графика (мужчины влево, женщины вправо, возраст по вертикали).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