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90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INTERACTIVE DASHBOARD</w:t>
      </w:r>
    </w:p>
    <w:p w:rsidR="00000000" w:rsidDel="00000000" w:rsidP="00000000" w:rsidRDefault="00000000" w:rsidRPr="00000000" w14:paraId="00000002">
      <w:pPr>
        <w:ind w:right="-9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the link to the interactive dashboard created using Microsoft Power BI is in this folder: </w:t>
      </w:r>
      <w:hyperlink r:id="rId6">
        <w:r w:rsidDel="00000000" w:rsidR="00000000" w:rsidRPr="00000000">
          <w:rPr>
            <w:rFonts w:ascii="Times New Roman" w:cs="Times New Roman" w:eastAsia="Times New Roman" w:hAnsi="Times New Roman"/>
            <w:color w:val="0000ee"/>
            <w:sz w:val="28"/>
            <w:szCs w:val="28"/>
            <w:u w:val="single"/>
            <w:rtl w:val="0"/>
          </w:rPr>
          <w:t xml:space="preserve">De Paul Dataset Dashboard</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3">
      <w:pPr>
        <w:ind w:right="-90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ind w:right="-90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DASHBOARD DESIGN DOCUMENTATION</w:t>
      </w:r>
    </w:p>
    <w:p w:rsidR="00000000" w:rsidDel="00000000" w:rsidP="00000000" w:rsidRDefault="00000000" w:rsidRPr="00000000" w14:paraId="00000005">
      <w:pPr>
        <w:pStyle w:val="Heading4"/>
        <w:keepNext w:val="0"/>
        <w:keepLines w:val="0"/>
        <w:spacing w:after="40" w:before="240" w:lineRule="auto"/>
        <w:ind w:right="-900"/>
        <w:rPr>
          <w:rFonts w:ascii="Times New Roman" w:cs="Times New Roman" w:eastAsia="Times New Roman" w:hAnsi="Times New Roman"/>
          <w:b w:val="1"/>
          <w:bCs w:val="1"/>
          <w:color w:val="000000"/>
          <w:sz w:val="28"/>
          <w:szCs w:val="28"/>
        </w:rPr>
      </w:pPr>
      <w:bookmarkStart w:colFirst="0" w:colLast="0" w:name="_7zxlyqsxrgzr" w:id="0"/>
      <w:bookmarkEnd w:id="0"/>
      <w:r w:rsidDel="00000000" w:rsidR="00000000" w:rsidRPr="00000000">
        <w:rPr>
          <w:rFonts w:ascii="Times New Roman" w:cs="Times New Roman" w:eastAsia="Times New Roman" w:hAnsi="Times New Roman"/>
          <w:b w:val="1"/>
          <w:bCs w:val="1"/>
          <w:color w:val="000000"/>
          <w:sz w:val="28"/>
          <w:szCs w:val="28"/>
          <w:rtl w:val="0"/>
        </w:rPr>
        <w:t xml:space="preserve">2.1 Dashboard Layout and Structure</w:t>
      </w:r>
    </w:p>
    <w:p w:rsidR="00000000" w:rsidDel="00000000" w:rsidP="00000000" w:rsidRDefault="00000000" w:rsidRPr="00000000" w14:paraId="00000006">
      <w:pPr>
        <w:spacing w:after="240" w:before="240" w:lineRule="auto"/>
        <w:ind w:right="-9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dashboard is structured across two pages in Power BI Desktop, each serving a distinct analytical purpose.</w:t>
      </w:r>
    </w:p>
    <w:p w:rsidR="00000000" w:rsidDel="00000000" w:rsidP="00000000" w:rsidRDefault="00000000" w:rsidRPr="00000000" w14:paraId="00000007">
      <w:pPr>
        <w:spacing w:after="240" w:before="240" w:lineRule="auto"/>
        <w:ind w:right="-90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1 - Applicant Overview</w:t>
        <w:br w:type="textWrapping"/>
      </w:r>
      <w:r w:rsidDel="00000000" w:rsidR="00000000" w:rsidRPr="00000000">
        <w:rPr>
          <w:rFonts w:ascii="Times New Roman" w:cs="Times New Roman" w:eastAsia="Times New Roman" w:hAnsi="Times New Roman"/>
          <w:sz w:val="28"/>
          <w:szCs w:val="28"/>
          <w:rtl w:val="0"/>
        </w:rPr>
        <w:t xml:space="preserve">Contains 6 KPI cards across the top, 5 dropdown slicers in a filter strip below the cards  and 6 charts arranged in a 3x2 grid occupying the main canvas area. The page answers the question: </w:t>
      </w:r>
      <w:r w:rsidDel="00000000" w:rsidR="00000000" w:rsidRPr="00000000">
        <w:rPr>
          <w:rFonts w:ascii="Times New Roman" w:cs="Times New Roman" w:eastAsia="Times New Roman" w:hAnsi="Times New Roman"/>
          <w:i w:val="1"/>
          <w:iCs w:val="1"/>
          <w:sz w:val="28"/>
          <w:szCs w:val="28"/>
          <w:rtl w:val="0"/>
        </w:rPr>
        <w:t xml:space="preserve">who applied, from where, for what and how many were admitted per year?</w:t>
      </w:r>
    </w:p>
    <w:p w:rsidR="00000000" w:rsidDel="00000000" w:rsidP="00000000" w:rsidRDefault="00000000" w:rsidRPr="00000000" w14:paraId="00000008">
      <w:pPr>
        <w:spacing w:after="240" w:before="240" w:lineRule="auto"/>
        <w:ind w:right="-90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2 - Admissions and Outreach Performance</w:t>
        <w:br w:type="textWrapping"/>
      </w:r>
      <w:r w:rsidDel="00000000" w:rsidR="00000000" w:rsidRPr="00000000">
        <w:rPr>
          <w:rFonts w:ascii="Times New Roman" w:cs="Times New Roman" w:eastAsia="Times New Roman" w:hAnsi="Times New Roman"/>
          <w:sz w:val="28"/>
          <w:szCs w:val="28"/>
          <w:rtl w:val="0"/>
        </w:rPr>
        <w:t xml:space="preserve">Contains the same 6 KPI cards and 5 slicers carried over from Page 1 and 4 charts arranged in a 2x2 grid. The larger chart panels give each visual more breathing room. The page answers the question: </w:t>
      </w:r>
      <w:r w:rsidDel="00000000" w:rsidR="00000000" w:rsidRPr="00000000">
        <w:rPr>
          <w:rFonts w:ascii="Times New Roman" w:cs="Times New Roman" w:eastAsia="Times New Roman" w:hAnsi="Times New Roman"/>
          <w:i w:val="1"/>
          <w:iCs w:val="1"/>
          <w:sz w:val="28"/>
          <w:szCs w:val="28"/>
          <w:rtl w:val="0"/>
        </w:rPr>
        <w:t xml:space="preserve">what happened after students applied?</w:t>
      </w:r>
    </w:p>
    <w:p w:rsidR="00000000" w:rsidDel="00000000" w:rsidP="00000000" w:rsidRDefault="00000000" w:rsidRPr="00000000" w14:paraId="00000009">
      <w:pPr>
        <w:spacing w:after="240" w:before="240" w:lineRule="auto"/>
        <w:ind w:right="-90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Why Each Component Was Included </w:t>
      </w:r>
    </w:p>
    <w:p w:rsidR="00000000" w:rsidDel="00000000" w:rsidP="00000000" w:rsidRDefault="00000000" w:rsidRPr="00000000" w14:paraId="0000000A">
      <w:pPr>
        <w:ind w:right="-90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KPI CARDS</w:t>
      </w:r>
    </w:p>
    <w:tbl>
      <w:tblPr>
        <w:tblStyle w:val="Table1"/>
        <w:tblW w:w="110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8325"/>
        <w:tblGridChange w:id="0">
          <w:tblGrid>
            <w:gridCol w:w="2685"/>
            <w:gridCol w:w="8325"/>
          </w:tblGrid>
        </w:tblGridChange>
      </w:tblGrid>
      <w:tr>
        <w:trPr>
          <w:cantSplit w:val="0"/>
          <w:tblHeader w:val="0"/>
        </w:trPr>
        <w:tc>
          <w:tcPr>
            <w:tcBorders>
              <w:top w:color="1155cc" w:space="0" w:sz="8" w:val="single"/>
              <w:left w:color="1155cc" w:space="0" w:sz="8" w:val="single"/>
              <w:bottom w:color="1155cc" w:space="0" w:sz="8" w:val="single"/>
              <w:right w:color="1155cc"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Card</w:t>
            </w:r>
          </w:p>
        </w:tc>
        <w:tc>
          <w:tcPr>
            <w:tcBorders>
              <w:top w:color="1155cc" w:space="0" w:sz="8" w:val="single"/>
              <w:left w:color="1155cc" w:space="0" w:sz="8" w:val="single"/>
              <w:bottom w:color="1155cc" w:space="0" w:sz="8" w:val="single"/>
              <w:right w:color="1155cc"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Reason for Inclusion</w:t>
            </w:r>
          </w:p>
        </w:tc>
      </w:tr>
      <w:tr>
        <w:trPr>
          <w:cantSplit w:val="0"/>
          <w:tblHeader w:val="0"/>
        </w:trPr>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Applicants </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headline metric, the first number any viewer needs to see </w:t>
            </w:r>
          </w:p>
        </w:tc>
      </w:tr>
      <w:tr>
        <w:trPr>
          <w:cantSplit w:val="0"/>
          <w:tblHeader w:val="0"/>
        </w:trPr>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Countries Represented </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Communicates the global reach of DePaul's applicant pool </w:t>
            </w:r>
          </w:p>
        </w:tc>
      </w:tr>
      <w:tr>
        <w:trPr>
          <w:cantSplit w:val="0"/>
          <w:tblHeader w:val="0"/>
        </w:trPr>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Programs Applied For </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Shows the breadth of academic demand across the university </w:t>
            </w:r>
          </w:p>
        </w:tc>
      </w:tr>
      <w:tr>
        <w:trPr>
          <w:cantSplit w:val="0"/>
          <w:tblHeader w:val="0"/>
        </w:trPr>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Admitted </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Measures how many applicants progressed to admission </w:t>
            </w:r>
          </w:p>
        </w:tc>
      </w:tr>
      <w:tr>
        <w:trPr>
          <w:cantSplit w:val="0"/>
          <w:tblHeader w:val="0"/>
        </w:trPr>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Contacted </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Measures outreach campaign reach </w:t>
            </w:r>
          </w:p>
        </w:tc>
      </w:tr>
      <w:tr>
        <w:trPr>
          <w:cantSplit w:val="0"/>
          <w:tblHeader w:val="0"/>
        </w:trPr>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Contacted </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Highlights the outreach coverage gap; signals a concern area </w:t>
            </w:r>
          </w:p>
        </w:tc>
      </w:tr>
    </w:tbl>
    <w:p w:rsidR="00000000" w:rsidDel="00000000" w:rsidP="00000000" w:rsidRDefault="00000000" w:rsidRPr="00000000" w14:paraId="00000019">
      <w:pPr>
        <w:ind w:right="-90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ind w:right="-90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ind w:right="-90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ind w:right="-90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SLICERS</w:t>
      </w:r>
    </w:p>
    <w:tbl>
      <w:tblPr>
        <w:tblStyle w:val="Table2"/>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8655"/>
        <w:tblGridChange w:id="0">
          <w:tblGrid>
            <w:gridCol w:w="2445"/>
            <w:gridCol w:w="8655"/>
          </w:tblGrid>
        </w:tblGridChange>
      </w:tblGrid>
      <w:tr>
        <w:trPr>
          <w:cantSplit w:val="0"/>
          <w:tblHeader w:val="0"/>
        </w:trPr>
        <w:tc>
          <w:tcPr>
            <w:tcBorders>
              <w:top w:color="1155cc" w:space="0" w:sz="8" w:val="single"/>
              <w:left w:color="1155cc" w:space="0" w:sz="8" w:val="single"/>
              <w:bottom w:color="1155cc" w:space="0" w:sz="8" w:val="single"/>
              <w:right w:color="1155cc"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Slicer</w:t>
            </w:r>
          </w:p>
        </w:tc>
        <w:tc>
          <w:tcPr>
            <w:tcBorders>
              <w:top w:color="1155cc" w:space="0" w:sz="8" w:val="single"/>
              <w:left w:color="1155cc" w:space="0" w:sz="8" w:val="single"/>
              <w:bottom w:color="1155cc" w:space="0" w:sz="8" w:val="single"/>
              <w:right w:color="1155cc"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Reason for Inclusion</w:t>
            </w:r>
          </w:p>
        </w:tc>
      </w:tr>
      <w:tr>
        <w:trPr>
          <w:cantSplit w:val="0"/>
          <w:tblHeader w:val="0"/>
        </w:trPr>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Country</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Enables filtering of all visuals by applicant home country </w:t>
            </w:r>
          </w:p>
        </w:tc>
      </w:tr>
      <w:tr>
        <w:trPr>
          <w:cantSplit w:val="0"/>
          <w:tblHeader w:val="0"/>
        </w:trPr>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 Source</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Allows comparison between Study Group and Non Study Group pipelines </w:t>
            </w:r>
          </w:p>
        </w:tc>
      </w:tr>
      <w:tr>
        <w:trPr>
          <w:cantSplit w:val="0"/>
          <w:tblHeader w:val="0"/>
        </w:trPr>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Intake Term</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Enables semester-level filtering across all charts </w:t>
            </w:r>
          </w:p>
        </w:tc>
      </w:tr>
      <w:tr>
        <w:trPr>
          <w:cantSplit w:val="0"/>
          <w:tblHeader w:val="0"/>
        </w:trPr>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College Choice</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Filters by preferred DePaul college </w:t>
            </w:r>
          </w:p>
        </w:tc>
      </w:tr>
      <w:tr>
        <w:trPr>
          <w:cantSplit w:val="0"/>
          <w:tblHeader w:val="0"/>
        </w:trPr>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Outcome</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Filters by outreach result  </w:t>
            </w:r>
          </w:p>
        </w:tc>
      </w:tr>
    </w:tbl>
    <w:p w:rsidR="00000000" w:rsidDel="00000000" w:rsidP="00000000" w:rsidRDefault="00000000" w:rsidRPr="00000000" w14:paraId="00000029">
      <w:pPr>
        <w:ind w:right="-90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ind w:right="-90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1 CHARTS</w:t>
      </w:r>
    </w:p>
    <w:tbl>
      <w:tblPr>
        <w:tblStyle w:val="Table3"/>
        <w:tblW w:w="11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1950"/>
        <w:gridCol w:w="5850"/>
        <w:tblGridChange w:id="0">
          <w:tblGrid>
            <w:gridCol w:w="3435"/>
            <w:gridCol w:w="1950"/>
            <w:gridCol w:w="5850"/>
          </w:tblGrid>
        </w:tblGridChange>
      </w:tblGrid>
      <w:tr>
        <w:trPr>
          <w:cantSplit w:val="0"/>
          <w:tblHeader w:val="0"/>
        </w:trPr>
        <w:tc>
          <w:tcPr>
            <w:tcBorders>
              <w:top w:color="1155cc" w:space="0" w:sz="8" w:val="single"/>
              <w:left w:color="1155cc" w:space="0" w:sz="8" w:val="single"/>
              <w:bottom w:color="1155cc" w:space="0" w:sz="8" w:val="single"/>
              <w:right w:color="1155cc"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Chart</w:t>
            </w:r>
          </w:p>
        </w:tc>
        <w:tc>
          <w:tcPr>
            <w:tcBorders>
              <w:top w:color="1155cc" w:space="0" w:sz="8" w:val="single"/>
              <w:left w:color="1155cc" w:space="0" w:sz="8" w:val="single"/>
              <w:bottom w:color="1155cc" w:space="0" w:sz="8" w:val="single"/>
              <w:right w:color="1155cc"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Type</w:t>
            </w:r>
          </w:p>
        </w:tc>
        <w:tc>
          <w:tcPr>
            <w:tcBorders>
              <w:top w:color="1155cc" w:space="0" w:sz="8" w:val="single"/>
              <w:left w:color="1155cc" w:space="0" w:sz="8" w:val="single"/>
              <w:bottom w:color="1155cc" w:space="0" w:sz="8" w:val="single"/>
              <w:right w:color="1155cc"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Reason for Inclusion</w:t>
            </w:r>
          </w:p>
        </w:tc>
      </w:tr>
      <w:tr>
        <w:trPr>
          <w:cantSplit w:val="0"/>
          <w:tblHeader w:val="0"/>
        </w:trPr>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Top 10 Countries by Application </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Horizontal Bar</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Shows geographic concentration, India's dominance immediately visible </w:t>
            </w:r>
          </w:p>
        </w:tc>
      </w:tr>
      <w:tr>
        <w:trPr>
          <w:cantSplit w:val="0"/>
          <w:tblHeader w:val="0"/>
        </w:trPr>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Applications by Source </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Pie Chart</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Two categories only </w:t>
            </w:r>
          </w:p>
        </w:tc>
      </w:tr>
      <w:tr>
        <w:trPr>
          <w:cantSplit w:val="0"/>
          <w:tblHeader w:val="0"/>
        </w:trPr>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Top 10 Programs Applied For </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Horizontal Bar</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Identifies which programs drive the most demand for resource planning </w:t>
            </w:r>
          </w:p>
        </w:tc>
      </w:tr>
      <w:tr>
        <w:trPr>
          <w:cantSplit w:val="0"/>
          <w:tblHeader w:val="0"/>
        </w:trPr>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Applicants by College First Choice </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Horizontal Bar</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Shows which colleges attract the most international interest </w:t>
            </w:r>
          </w:p>
        </w:tc>
      </w:tr>
      <w:tr>
        <w:trPr>
          <w:cantSplit w:val="0"/>
          <w:tblHeader w:val="0"/>
        </w:trPr>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Applicants by Intake Term </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Horizontal Bar</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Reveals peak application periods for capacity planning </w:t>
            </w:r>
          </w:p>
        </w:tc>
      </w:tr>
      <w:tr>
        <w:trPr>
          <w:cantSplit w:val="0"/>
          <w:tblHeader w:val="0"/>
        </w:trPr>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Admissions by Year</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Column Chart</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Shows the year with the highest admissions</w:t>
            </w:r>
          </w:p>
        </w:tc>
      </w:tr>
    </w:tbl>
    <w:p w:rsidR="00000000" w:rsidDel="00000000" w:rsidP="00000000" w:rsidRDefault="00000000" w:rsidRPr="00000000" w14:paraId="00000040">
      <w:pPr>
        <w:ind w:right="-90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ind w:right="-90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2 CHARTS</w:t>
      </w:r>
    </w:p>
    <w:tbl>
      <w:tblPr>
        <w:tblStyle w:val="Table4"/>
        <w:tblW w:w="11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1995"/>
        <w:gridCol w:w="5790"/>
        <w:tblGridChange w:id="0">
          <w:tblGrid>
            <w:gridCol w:w="3435"/>
            <w:gridCol w:w="1995"/>
            <w:gridCol w:w="5790"/>
          </w:tblGrid>
        </w:tblGridChange>
      </w:tblGrid>
      <w:tr>
        <w:trPr>
          <w:cantSplit w:val="0"/>
          <w:tblHeader w:val="0"/>
        </w:trPr>
        <w:tc>
          <w:tcPr>
            <w:tcBorders>
              <w:top w:color="1155cc" w:space="0" w:sz="8" w:val="single"/>
              <w:left w:color="1155cc" w:space="0" w:sz="8" w:val="single"/>
              <w:bottom w:color="1155cc" w:space="0" w:sz="8" w:val="single"/>
              <w:right w:color="1155cc"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Chart</w:t>
            </w:r>
          </w:p>
        </w:tc>
        <w:tc>
          <w:tcPr>
            <w:tcBorders>
              <w:top w:color="1155cc" w:space="0" w:sz="8" w:val="single"/>
              <w:left w:color="1155cc" w:space="0" w:sz="8" w:val="single"/>
              <w:bottom w:color="1155cc" w:space="0" w:sz="8" w:val="single"/>
              <w:right w:color="1155cc"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Type</w:t>
            </w:r>
          </w:p>
        </w:tc>
        <w:tc>
          <w:tcPr>
            <w:tcBorders>
              <w:top w:color="1155cc" w:space="0" w:sz="8" w:val="single"/>
              <w:left w:color="1155cc" w:space="0" w:sz="8" w:val="single"/>
              <w:bottom w:color="1155cc" w:space="0" w:sz="8" w:val="single"/>
              <w:right w:color="1155cc"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Reason for Inclusion</w:t>
            </w:r>
          </w:p>
        </w:tc>
      </w:tr>
      <w:tr>
        <w:trPr>
          <w:cantSplit w:val="0"/>
          <w:tblHeader w:val="0"/>
        </w:trPr>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Contacted vs Not Contacted </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Donut Chart</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Visually communicates the outreach coverage gap at a glance </w:t>
            </w:r>
          </w:p>
        </w:tc>
      </w:tr>
      <w:tr>
        <w:trPr>
          <w:cantSplit w:val="0"/>
          <w:tblHeader w:val="0"/>
        </w:trPr>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Outreach Outcome Breakdown </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Horizontal Bar</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Breaks down what happened during each outreach contact and identifies bottlenecks </w:t>
            </w:r>
          </w:p>
        </w:tc>
      </w:tr>
      <w:tr>
        <w:trPr>
          <w:cantSplit w:val="0"/>
          <w:tblHeader w:val="0"/>
        </w:trPr>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Top 9 Countries by Application Source </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Stacked Bar</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Reveals which recruitment channels are active in which markets </w:t>
            </w:r>
          </w:p>
        </w:tc>
      </w:tr>
      <w:tr>
        <w:trPr>
          <w:cantSplit w:val="0"/>
          <w:tblHeader w:val="0"/>
        </w:trPr>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Top 5 Programs by Intake Term </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Stacked Bar</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Shows program demand by season, informs intake capacity planning </w:t>
            </w:r>
          </w:p>
        </w:tc>
      </w:tr>
    </w:tbl>
    <w:p w:rsidR="00000000" w:rsidDel="00000000" w:rsidP="00000000" w:rsidRDefault="00000000" w:rsidRPr="00000000" w14:paraId="00000051">
      <w:pPr>
        <w:ind w:right="-90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ind w:right="-9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2.3 Data Flow and Interactivity Features</w:t>
      </w: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Flow</w:t>
      </w:r>
    </w:p>
    <w:p w:rsidR="00000000" w:rsidDel="00000000" w:rsidP="00000000" w:rsidRDefault="00000000" w:rsidRPr="00000000" w14:paraId="00000054">
      <w:pPr>
        <w:numPr>
          <w:ilvl w:val="0"/>
          <w:numId w:val="1"/>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Cardo" w:cs="Cardo" w:eastAsia="Cardo" w:hAnsi="Cardo"/>
          <w:sz w:val="28"/>
          <w:szCs w:val="28"/>
          <w:rtl w:val="0"/>
        </w:rPr>
        <w:t xml:space="preserve">The cleaned dataset “DePaul_Cleaned_Data” was exported from Google Sheets as a CSV file and imported into Power BI Desktop via the Get Data → Text/CSV route. </w:t>
      </w:r>
    </w:p>
    <w:p w:rsidR="00000000" w:rsidDel="00000000" w:rsidP="00000000" w:rsidRDefault="00000000" w:rsidRPr="00000000" w14:paraId="00000055">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Inside Power BI, six DAX measures were created to power the KPI cards: Count of Applicants, Count of Countries, Count of Programs, Total Admitted, Total Contacted, and Total Not Contacted. </w:t>
      </w:r>
    </w:p>
    <w:p w:rsidR="00000000" w:rsidDel="00000000" w:rsidP="00000000" w:rsidRDefault="00000000" w:rsidRPr="00000000" w14:paraId="00000056">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An additional calculated column “Admit_Year”  was extracted from Admit_Date using the YEAR() function to enable year-level trend analysis. </w:t>
      </w:r>
    </w:p>
    <w:p w:rsidR="00000000" w:rsidDel="00000000" w:rsidP="00000000" w:rsidRDefault="00000000" w:rsidRPr="00000000" w14:paraId="00000057">
      <w:pPr>
        <w:numPr>
          <w:ilvl w:val="0"/>
          <w:numId w:val="1"/>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 Contact_Status column was also created using an IF statement to classify each applicant as either Contacted or Not Contacted for the donut chart visual.</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Interactivity Features</w:t>
      </w:r>
      <w:r w:rsidDel="00000000" w:rsidR="00000000" w:rsidRPr="00000000">
        <w:rPr>
          <w:rFonts w:ascii="Times New Roman" w:cs="Times New Roman" w:eastAsia="Times New Roman" w:hAnsi="Times New Roman"/>
          <w:sz w:val="28"/>
          <w:szCs w:val="28"/>
          <w:rtl w:val="0"/>
        </w:rPr>
        <w:t xml:space="preserve"> </w:t>
      </w:r>
    </w:p>
    <w:tbl>
      <w:tblPr>
        <w:tblStyle w:val="Table5"/>
        <w:tblW w:w="110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8955"/>
        <w:tblGridChange w:id="0">
          <w:tblGrid>
            <w:gridCol w:w="2130"/>
            <w:gridCol w:w="8955"/>
          </w:tblGrid>
        </w:tblGridChange>
      </w:tblGrid>
      <w:tr>
        <w:trPr>
          <w:cantSplit w:val="0"/>
          <w:tblHeader w:val="0"/>
        </w:trPr>
        <w:tc>
          <w:tcPr>
            <w:tcBorders>
              <w:top w:color="1155cc" w:space="0" w:sz="8" w:val="single"/>
              <w:left w:color="1155cc" w:space="0" w:sz="8" w:val="single"/>
              <w:bottom w:color="1155cc" w:space="0" w:sz="8" w:val="single"/>
              <w:right w:color="1155cc"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Feature</w:t>
            </w:r>
          </w:p>
        </w:tc>
        <w:tc>
          <w:tcPr>
            <w:tcBorders>
              <w:top w:color="1155cc" w:space="0" w:sz="8" w:val="single"/>
              <w:left w:color="1155cc" w:space="0" w:sz="8" w:val="single"/>
              <w:bottom w:color="1155cc" w:space="0" w:sz="8" w:val="single"/>
              <w:right w:color="1155cc"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How It Works</w:t>
            </w:r>
          </w:p>
        </w:tc>
      </w:tr>
      <w:tr>
        <w:trPr>
          <w:cantSplit w:val="0"/>
          <w:tblHeader w:val="0"/>
        </w:trPr>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Dropdown Slicers </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5 slicers are set to dropdown style with a Select All option. Selecting any value instantly filters every KPI card and chart on the page. </w:t>
            </w:r>
          </w:p>
        </w:tc>
      </w:tr>
      <w:tr>
        <w:trPr>
          <w:cantSplit w:val="0"/>
          <w:tblHeader w:val="0"/>
        </w:trPr>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Cross-page Slicer Sync </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5 slicers are synced across Page 1 and Page 2 using Power BI's Sync Slicers feature. A filter applied on Page 1 carries over automatically to Page 2</w:t>
            </w:r>
          </w:p>
        </w:tc>
      </w:tr>
      <w:tr>
        <w:trPr>
          <w:cantSplit w:val="0"/>
          <w:tblHeader w:val="0"/>
        </w:trPr>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Cross-filtering </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Clicking any bar or slice on any chart filters all other visuals on the same page. </w:t>
            </w:r>
          </w:p>
        </w:tc>
      </w:tr>
      <w:tr>
        <w:trPr>
          <w:cantSplit w:val="0"/>
          <w:tblHeader w:val="0"/>
        </w:trPr>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Top N Filters </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Countries, Programs,Intake Term and College First Choice charts use Top N visual-level filters to display only the most relevant categories, keeping visuals clean and uncluttered. </w:t>
            </w:r>
          </w:p>
        </w:tc>
      </w:tr>
      <w:tr>
        <w:trPr>
          <w:cantSplit w:val="0"/>
          <w:tblHeader w:val="0"/>
        </w:trPr>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Labels </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charts display data labels showing exact counts, removing the need for viewers to estimate values from axis positions.</w:t>
            </w:r>
          </w:p>
        </w:tc>
      </w:tr>
      <w:tr>
        <w:trPr>
          <w:cantSplit w:val="0"/>
          <w:tblHeader w:val="0"/>
        </w:trPr>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Sort Order </w:t>
            </w:r>
          </w:p>
        </w:tc>
        <w:tc>
          <w:tcPr>
            <w:tcBorders>
              <w:top w:color="1155cc" w:space="0" w:sz="8" w:val="single"/>
              <w:left w:color="1155cc" w:space="0" w:sz="8" w:val="single"/>
              <w:bottom w:color="1155cc" w:space="0" w:sz="8" w:val="single"/>
              <w:right w:color="1155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bar charts are sorted descending by Count of Applicants so the most important categories always appear at the top.</w:t>
            </w:r>
          </w:p>
        </w:tc>
      </w:tr>
    </w:tbl>
    <w:p w:rsidR="00000000" w:rsidDel="00000000" w:rsidP="00000000" w:rsidRDefault="00000000" w:rsidRPr="00000000" w14:paraId="00000067">
      <w:pPr>
        <w:spacing w:after="240" w:before="240" w:lineRule="auto"/>
        <w:ind w:right="-90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INSIGHTS REPORT</w:t>
      </w:r>
    </w:p>
    <w:p w:rsidR="00000000" w:rsidDel="00000000" w:rsidP="00000000" w:rsidRDefault="00000000" w:rsidRPr="00000000" w14:paraId="00000068">
      <w:pPr>
        <w:spacing w:after="240" w:before="240" w:lineRule="auto"/>
        <w:ind w:right="-90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Trends and Patterns</w:t>
      </w:r>
    </w:p>
    <w:p w:rsidR="00000000" w:rsidDel="00000000" w:rsidP="00000000" w:rsidRDefault="00000000" w:rsidRPr="00000000" w14:paraId="00000069">
      <w:pPr>
        <w:spacing w:after="240" w:before="240" w:lineRule="auto"/>
        <w:ind w:right="-9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reveals three dominant patterns across 7,543 applicant records spanning 2023 to 2025.</w:t>
      </w:r>
    </w:p>
    <w:p w:rsidR="00000000" w:rsidDel="00000000" w:rsidP="00000000" w:rsidRDefault="00000000" w:rsidRPr="00000000" w14:paraId="0000006A">
      <w:pPr>
        <w:numPr>
          <w:ilvl w:val="0"/>
          <w:numId w:val="2"/>
        </w:numPr>
        <w:spacing w:after="0" w:afterAutospacing="0" w:before="240" w:lineRule="auto"/>
        <w:ind w:left="720" w:right="-90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applicant pool is geographically concentrated. India accounts for 4,617 applicants, </w:t>
      </w:r>
      <w:r w:rsidDel="00000000" w:rsidR="00000000" w:rsidRPr="00000000">
        <w:rPr>
          <w:rFonts w:ascii="Times New Roman" w:cs="Times New Roman" w:eastAsia="Times New Roman" w:hAnsi="Times New Roman"/>
          <w:b w:val="1"/>
          <w:bCs w:val="1"/>
          <w:sz w:val="28"/>
          <w:szCs w:val="28"/>
          <w:rtl w:val="0"/>
        </w:rPr>
        <w:t xml:space="preserve">61.2%</w:t>
      </w:r>
      <w:r w:rsidDel="00000000" w:rsidR="00000000" w:rsidRPr="00000000">
        <w:rPr>
          <w:rFonts w:ascii="Times New Roman" w:cs="Times New Roman" w:eastAsia="Times New Roman" w:hAnsi="Times New Roman"/>
          <w:sz w:val="28"/>
          <w:szCs w:val="28"/>
          <w:rtl w:val="0"/>
        </w:rPr>
        <w:t xml:space="preserve"> of the total with the United States, Ghana and Nigeria making up a further </w:t>
      </w:r>
      <w:r w:rsidDel="00000000" w:rsidR="00000000" w:rsidRPr="00000000">
        <w:rPr>
          <w:rFonts w:ascii="Times New Roman" w:cs="Times New Roman" w:eastAsia="Times New Roman" w:hAnsi="Times New Roman"/>
          <w:b w:val="1"/>
          <w:bCs w:val="1"/>
          <w:sz w:val="28"/>
          <w:szCs w:val="28"/>
          <w:rtl w:val="0"/>
        </w:rPr>
        <w:t xml:space="preserve">21.7%</w:t>
      </w:r>
      <w:r w:rsidDel="00000000" w:rsidR="00000000" w:rsidRPr="00000000">
        <w:rPr>
          <w:rFonts w:ascii="Times New Roman" w:cs="Times New Roman" w:eastAsia="Times New Roman" w:hAnsi="Times New Roman"/>
          <w:sz w:val="28"/>
          <w:szCs w:val="28"/>
          <w:rtl w:val="0"/>
        </w:rPr>
        <w:t xml:space="preserve">. This means four countries represent nearly 83% of all applications. </w:t>
      </w:r>
    </w:p>
    <w:p w:rsidR="00000000" w:rsidDel="00000000" w:rsidP="00000000" w:rsidRDefault="00000000" w:rsidRPr="00000000" w14:paraId="0000006B">
      <w:pPr>
        <w:numPr>
          <w:ilvl w:val="0"/>
          <w:numId w:val="2"/>
        </w:numPr>
        <w:spacing w:after="0" w:afterAutospacing="0" w:before="0" w:beforeAutospacing="0" w:lineRule="auto"/>
        <w:ind w:left="720" w:right="-90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Technology and data programs drive the majority of demand. Business Analytics MS (1,080), Computer Science MS (1,055) and Data Science MS (519) together account for </w:t>
      </w:r>
      <w:r w:rsidDel="00000000" w:rsidR="00000000" w:rsidRPr="00000000">
        <w:rPr>
          <w:rFonts w:ascii="Times New Roman" w:cs="Times New Roman" w:eastAsia="Times New Roman" w:hAnsi="Times New Roman"/>
          <w:b w:val="1"/>
          <w:bCs w:val="1"/>
          <w:sz w:val="28"/>
          <w:szCs w:val="28"/>
          <w:rtl w:val="0"/>
        </w:rPr>
        <w:t xml:space="preserve">35.3%</w:t>
      </w:r>
      <w:r w:rsidDel="00000000" w:rsidR="00000000" w:rsidRPr="00000000">
        <w:rPr>
          <w:rFonts w:ascii="Times New Roman" w:cs="Times New Roman" w:eastAsia="Times New Roman" w:hAnsi="Times New Roman"/>
          <w:sz w:val="28"/>
          <w:szCs w:val="28"/>
          <w:rtl w:val="0"/>
        </w:rPr>
        <w:t xml:space="preserve"> of all applications, with Jarvis College of Computing receiving </w:t>
      </w:r>
      <w:r w:rsidDel="00000000" w:rsidR="00000000" w:rsidRPr="00000000">
        <w:rPr>
          <w:rFonts w:ascii="Times New Roman" w:cs="Times New Roman" w:eastAsia="Times New Roman" w:hAnsi="Times New Roman"/>
          <w:b w:val="1"/>
          <w:bCs w:val="1"/>
          <w:sz w:val="28"/>
          <w:szCs w:val="28"/>
          <w:rtl w:val="0"/>
        </w:rPr>
        <w:t xml:space="preserve">50.8%</w:t>
      </w:r>
      <w:r w:rsidDel="00000000" w:rsidR="00000000" w:rsidRPr="00000000">
        <w:rPr>
          <w:rFonts w:ascii="Times New Roman" w:cs="Times New Roman" w:eastAsia="Times New Roman" w:hAnsi="Times New Roman"/>
          <w:sz w:val="28"/>
          <w:szCs w:val="28"/>
          <w:rtl w:val="0"/>
        </w:rPr>
        <w:t xml:space="preserve"> of all first-choice college selections. </w:t>
      </w:r>
    </w:p>
    <w:p w:rsidR="00000000" w:rsidDel="00000000" w:rsidP="00000000" w:rsidRDefault="00000000" w:rsidRPr="00000000" w14:paraId="0000006C">
      <w:pPr>
        <w:numPr>
          <w:ilvl w:val="0"/>
          <w:numId w:val="2"/>
        </w:numPr>
        <w:spacing w:after="240" w:before="0" w:beforeAutospacing="0" w:lineRule="auto"/>
        <w:ind w:left="720" w:right="-90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Admissions grew by </w:t>
      </w:r>
      <w:r w:rsidDel="00000000" w:rsidR="00000000" w:rsidRPr="00000000">
        <w:rPr>
          <w:rFonts w:ascii="Times New Roman" w:cs="Times New Roman" w:eastAsia="Times New Roman" w:hAnsi="Times New Roman"/>
          <w:b w:val="1"/>
          <w:bCs w:val="1"/>
          <w:sz w:val="28"/>
          <w:szCs w:val="28"/>
          <w:rtl w:val="0"/>
        </w:rPr>
        <w:t xml:space="preserve">176.3%</w:t>
      </w:r>
      <w:r w:rsidDel="00000000" w:rsidR="00000000" w:rsidRPr="00000000">
        <w:rPr>
          <w:rFonts w:ascii="Times New Roman" w:cs="Times New Roman" w:eastAsia="Times New Roman" w:hAnsi="Times New Roman"/>
          <w:sz w:val="28"/>
          <w:szCs w:val="28"/>
          <w:rtl w:val="0"/>
        </w:rPr>
        <w:t xml:space="preserve"> between 2023 and 2024 from 1,377 to 3,805 admitted students, suggesting a significant expansion in recruitment effectiveness or program capacity during that period.</w:t>
      </w:r>
    </w:p>
    <w:p w:rsidR="00000000" w:rsidDel="00000000" w:rsidP="00000000" w:rsidRDefault="00000000" w:rsidRPr="00000000" w14:paraId="0000006D">
      <w:pPr>
        <w:spacing w:after="240" w:before="240" w:lineRule="auto"/>
        <w:ind w:right="-9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the outreach side, </w:t>
      </w:r>
      <w:r w:rsidDel="00000000" w:rsidR="00000000" w:rsidRPr="00000000">
        <w:rPr>
          <w:rFonts w:ascii="Times New Roman" w:cs="Times New Roman" w:eastAsia="Times New Roman" w:hAnsi="Times New Roman"/>
          <w:b w:val="1"/>
          <w:bCs w:val="1"/>
          <w:sz w:val="28"/>
          <w:szCs w:val="28"/>
          <w:rtl w:val="0"/>
        </w:rPr>
        <w:t xml:space="preserve">42.34%</w:t>
      </w:r>
      <w:r w:rsidDel="00000000" w:rsidR="00000000" w:rsidRPr="00000000">
        <w:rPr>
          <w:rFonts w:ascii="Times New Roman" w:cs="Times New Roman" w:eastAsia="Times New Roman" w:hAnsi="Times New Roman"/>
          <w:sz w:val="28"/>
          <w:szCs w:val="28"/>
          <w:rtl w:val="0"/>
        </w:rPr>
        <w:t xml:space="preserve"> of applicants, 3,194 students were never contacted through any campaign. Among those contacted, "Follow up" (1,375) and "Missing Transcript" (1,177) were the two most common outcomes, together accounting for </w:t>
      </w:r>
      <w:r w:rsidDel="00000000" w:rsidR="00000000" w:rsidRPr="00000000">
        <w:rPr>
          <w:rFonts w:ascii="Times New Roman" w:cs="Times New Roman" w:eastAsia="Times New Roman" w:hAnsi="Times New Roman"/>
          <w:b w:val="1"/>
          <w:bCs w:val="1"/>
          <w:sz w:val="28"/>
          <w:szCs w:val="28"/>
          <w:rtl w:val="0"/>
        </w:rPr>
        <w:t xml:space="preserve">59.8%</w:t>
      </w:r>
      <w:r w:rsidDel="00000000" w:rsidR="00000000" w:rsidRPr="00000000">
        <w:rPr>
          <w:rFonts w:ascii="Times New Roman" w:cs="Times New Roman" w:eastAsia="Times New Roman" w:hAnsi="Times New Roman"/>
          <w:sz w:val="28"/>
          <w:szCs w:val="28"/>
          <w:rtl w:val="0"/>
        </w:rPr>
        <w:t xml:space="preserve"> of all outreach interactions.</w:t>
      </w:r>
    </w:p>
    <w:p w:rsidR="00000000" w:rsidDel="00000000" w:rsidP="00000000" w:rsidRDefault="00000000" w:rsidRPr="00000000" w14:paraId="0000006E">
      <w:pPr>
        <w:spacing w:after="240" w:before="240" w:lineRule="auto"/>
        <w:ind w:right="-90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Actionable Recommendations</w:t>
      </w:r>
    </w:p>
    <w:p w:rsidR="00000000" w:rsidDel="00000000" w:rsidP="00000000" w:rsidRDefault="00000000" w:rsidRPr="00000000" w14:paraId="0000006F">
      <w:pPr>
        <w:spacing w:after="240" w:before="240" w:lineRule="auto"/>
        <w:ind w:right="-9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Recruitment Targeting: Diversify Beyond India</w:t>
        <w:br w:type="textWrapping"/>
      </w:r>
      <w:r w:rsidDel="00000000" w:rsidR="00000000" w:rsidRPr="00000000">
        <w:rPr>
          <w:rFonts w:ascii="Times New Roman" w:cs="Times New Roman" w:eastAsia="Times New Roman" w:hAnsi="Times New Roman"/>
          <w:sz w:val="28"/>
          <w:szCs w:val="28"/>
          <w:rtl w:val="0"/>
        </w:rPr>
        <w:t xml:space="preserve">India's 61.2% share creates a concentration risk. A policy change, visa restriction, or shift in student preference in one country could significantly impact DePaul's pipeline. </w:t>
      </w:r>
      <w:r w:rsidDel="00000000" w:rsidR="00000000" w:rsidRPr="00000000">
        <w:rPr>
          <w:rFonts w:ascii="Times New Roman" w:cs="Times New Roman" w:eastAsia="Times New Roman" w:hAnsi="Times New Roman"/>
          <w:b w:val="1"/>
          <w:bCs w:val="1"/>
          <w:sz w:val="28"/>
          <w:szCs w:val="28"/>
          <w:rtl w:val="0"/>
        </w:rPr>
        <w:t xml:space="preserve">Recommendation:</w:t>
      </w:r>
      <w:r w:rsidDel="00000000" w:rsidR="00000000" w:rsidRPr="00000000">
        <w:rPr>
          <w:rFonts w:ascii="Times New Roman" w:cs="Times New Roman" w:eastAsia="Times New Roman" w:hAnsi="Times New Roman"/>
          <w:sz w:val="28"/>
          <w:szCs w:val="28"/>
          <w:rtl w:val="0"/>
        </w:rPr>
        <w:t xml:space="preserve"> Develop targeted recruitment campaigns in underrepresented but high-potential markets particularly Ghana (440), Nigeria (430) and Pakistan (273)  which already show organic interest without heavy Study Group investment.</w:t>
      </w:r>
    </w:p>
    <w:p w:rsidR="00000000" w:rsidDel="00000000" w:rsidP="00000000" w:rsidRDefault="00000000" w:rsidRPr="00000000" w14:paraId="00000070">
      <w:pPr>
        <w:spacing w:after="240" w:before="240" w:lineRule="auto"/>
        <w:ind w:right="-9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 Study Group Partnerships</w:t>
        <w:br w:type="textWrapping"/>
      </w:r>
      <w:r w:rsidDel="00000000" w:rsidR="00000000" w:rsidRPr="00000000">
        <w:rPr>
          <w:rFonts w:ascii="Times New Roman" w:cs="Times New Roman" w:eastAsia="Times New Roman" w:hAnsi="Times New Roman"/>
          <w:sz w:val="28"/>
          <w:szCs w:val="28"/>
          <w:rtl w:val="0"/>
        </w:rPr>
        <w:t xml:space="preserve">The Top 9 Countries by Application Source chart confirms Study Group activity is concentrated in India (661) and the United States (182). Ghana, Nigeria and Pakistan apply almost entirely through Non Study Group channels. </w:t>
      </w:r>
      <w:r w:rsidDel="00000000" w:rsidR="00000000" w:rsidRPr="00000000">
        <w:rPr>
          <w:rFonts w:ascii="Times New Roman" w:cs="Times New Roman" w:eastAsia="Times New Roman" w:hAnsi="Times New Roman"/>
          <w:b w:val="1"/>
          <w:bCs w:val="1"/>
          <w:sz w:val="28"/>
          <w:szCs w:val="28"/>
          <w:rtl w:val="0"/>
        </w:rPr>
        <w:t xml:space="preserve">Recommendation</w:t>
      </w:r>
      <w:r w:rsidDel="00000000" w:rsidR="00000000" w:rsidRPr="00000000">
        <w:rPr>
          <w:rFonts w:ascii="Times New Roman" w:cs="Times New Roman" w:eastAsia="Times New Roman" w:hAnsi="Times New Roman"/>
          <w:sz w:val="28"/>
          <w:szCs w:val="28"/>
          <w:rtl w:val="0"/>
        </w:rPr>
        <w:t xml:space="preserve">: Evaluate whether Study Group partnerships in those three countries would meaningfully increase conversion or whether the existing Non Study Group pipeline is already performing well enough organically.</w:t>
      </w:r>
    </w:p>
    <w:p w:rsidR="00000000" w:rsidDel="00000000" w:rsidP="00000000" w:rsidRDefault="00000000" w:rsidRPr="00000000" w14:paraId="00000071">
      <w:pPr>
        <w:spacing w:after="240" w:before="240" w:lineRule="auto"/>
        <w:ind w:right="-9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Counselor Engagement: Address the 42.3% Outreach Gap</w:t>
        <w:br w:type="textWrapping"/>
      </w:r>
      <w:r w:rsidDel="00000000" w:rsidR="00000000" w:rsidRPr="00000000">
        <w:rPr>
          <w:rFonts w:ascii="Times New Roman" w:cs="Times New Roman" w:eastAsia="Times New Roman" w:hAnsi="Times New Roman"/>
          <w:sz w:val="28"/>
          <w:szCs w:val="28"/>
          <w:rtl w:val="0"/>
        </w:rPr>
        <w:t xml:space="preserve">3,194 applicants received no outreach contact. With every contacted student receiving exactly one attempt and no recorded follow-up, the current outreach model is a single-touch system. </w:t>
      </w:r>
      <w:r w:rsidDel="00000000" w:rsidR="00000000" w:rsidRPr="00000000">
        <w:rPr>
          <w:rFonts w:ascii="Times New Roman" w:cs="Times New Roman" w:eastAsia="Times New Roman" w:hAnsi="Times New Roman"/>
          <w:b w:val="1"/>
          <w:bCs w:val="1"/>
          <w:sz w:val="28"/>
          <w:szCs w:val="28"/>
          <w:rtl w:val="0"/>
        </w:rPr>
        <w:t xml:space="preserve">Recommendation:</w:t>
      </w:r>
      <w:r w:rsidDel="00000000" w:rsidR="00000000" w:rsidRPr="00000000">
        <w:rPr>
          <w:rFonts w:ascii="Times New Roman" w:cs="Times New Roman" w:eastAsia="Times New Roman" w:hAnsi="Times New Roman"/>
          <w:sz w:val="28"/>
          <w:szCs w:val="28"/>
          <w:rtl w:val="0"/>
        </w:rPr>
        <w:t xml:space="preserve"> Implement a structured multi-touch outreach protocol at minimum two contact attempts per applicant and prioritise the 3,194 uncontacted students as an immediate re-engagement opportunity.</w:t>
      </w:r>
    </w:p>
    <w:p w:rsidR="00000000" w:rsidDel="00000000" w:rsidP="00000000" w:rsidRDefault="00000000" w:rsidRPr="00000000" w14:paraId="00000072">
      <w:pPr>
        <w:spacing w:after="240" w:before="240" w:lineRule="auto"/>
        <w:ind w:right="-9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 Transcript Process</w:t>
        <w:br w:type="textWrapping"/>
      </w:r>
      <w:r w:rsidDel="00000000" w:rsidR="00000000" w:rsidRPr="00000000">
        <w:rPr>
          <w:rFonts w:ascii="Times New Roman" w:cs="Times New Roman" w:eastAsia="Times New Roman" w:hAnsi="Times New Roman"/>
          <w:sz w:val="28"/>
          <w:szCs w:val="28"/>
          <w:rtl w:val="0"/>
        </w:rPr>
        <w:t xml:space="preserve">Missing transcripts (1,177 cases) represent the most common unresolved outreach outcome after follow-ups. </w:t>
      </w:r>
      <w:r w:rsidDel="00000000" w:rsidR="00000000" w:rsidRPr="00000000">
        <w:rPr>
          <w:rFonts w:ascii="Times New Roman" w:cs="Times New Roman" w:eastAsia="Times New Roman" w:hAnsi="Times New Roman"/>
          <w:b w:val="1"/>
          <w:bCs w:val="1"/>
          <w:sz w:val="28"/>
          <w:szCs w:val="28"/>
          <w:rtl w:val="0"/>
        </w:rPr>
        <w:t xml:space="preserve">Recommendation:</w:t>
      </w:r>
      <w:r w:rsidDel="00000000" w:rsidR="00000000" w:rsidRPr="00000000">
        <w:rPr>
          <w:rFonts w:ascii="Times New Roman" w:cs="Times New Roman" w:eastAsia="Times New Roman" w:hAnsi="Times New Roman"/>
          <w:sz w:val="28"/>
          <w:szCs w:val="28"/>
          <w:rtl w:val="0"/>
        </w:rPr>
        <w:t xml:space="preserve"> Introduce an automated transcript reminder system triggered at application submission, reducing manual counselor intervention and accelerating application completion rates.</w:t>
      </w:r>
    </w:p>
    <w:p w:rsidR="00000000" w:rsidDel="00000000" w:rsidP="00000000" w:rsidRDefault="00000000" w:rsidRPr="00000000" w14:paraId="00000073">
      <w:pPr>
        <w:spacing w:after="240" w:before="240" w:lineRule="auto"/>
        <w:ind w:right="-9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 Fall Intake Capacity: Plan for Peak Demand</w:t>
        <w:br w:type="textWrapping"/>
      </w:r>
      <w:r w:rsidDel="00000000" w:rsidR="00000000" w:rsidRPr="00000000">
        <w:rPr>
          <w:rFonts w:ascii="Times New Roman" w:cs="Times New Roman" w:eastAsia="Times New Roman" w:hAnsi="Times New Roman"/>
          <w:sz w:val="28"/>
          <w:szCs w:val="28"/>
          <w:rtl w:val="0"/>
        </w:rPr>
        <w:t xml:space="preserve">Fall 2024 (3,284 applicants) and Fall 2025 (1,434 applicants) dominate all intake terms across every top program. </w:t>
      </w:r>
      <w:r w:rsidDel="00000000" w:rsidR="00000000" w:rsidRPr="00000000">
        <w:rPr>
          <w:rFonts w:ascii="Times New Roman" w:cs="Times New Roman" w:eastAsia="Times New Roman" w:hAnsi="Times New Roman"/>
          <w:b w:val="1"/>
          <w:bCs w:val="1"/>
          <w:sz w:val="28"/>
          <w:szCs w:val="28"/>
          <w:rtl w:val="0"/>
        </w:rPr>
        <w:t xml:space="preserve">Recommendation:</w:t>
      </w:r>
      <w:r w:rsidDel="00000000" w:rsidR="00000000" w:rsidRPr="00000000">
        <w:rPr>
          <w:rFonts w:ascii="Times New Roman" w:cs="Times New Roman" w:eastAsia="Times New Roman" w:hAnsi="Times New Roman"/>
          <w:sz w:val="28"/>
          <w:szCs w:val="28"/>
          <w:rtl w:val="0"/>
        </w:rPr>
        <w:t xml:space="preserve"> Ensure counselor staffing, visa processing support and program capacity are scaled for Fall intake peaks particularly for Business Analytics MS and Computer Science MS which drive the highest volumes.</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dashboard transforms raw application data into a decision-support tool. Recruitment teams can filter by country, source or intake term to identify where to focus marketing spend. Counselor managers can use the outreach gap data to set contact targets and measure campaign effectiveness. Admissions leadership can track year-over-year growth trends and program demand shifts in real time. Every recommendation above is directly traceable to a specific chart or KPI on the dashboard ensuring decisions are evidence-based rather than assumption-driven. </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4.0 DEMO VIDEO</w:t>
      </w:r>
    </w:p>
    <w:p w:rsidR="00000000" w:rsidDel="00000000" w:rsidP="00000000" w:rsidRDefault="00000000" w:rsidRPr="00000000" w14:paraId="00000076">
      <w:pPr>
        <w:shd w:fill="ffffff" w:val="clear"/>
        <w:spacing w:after="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a link to the visual demonstration of the dashboard’s functionality and interactivity: </w:t>
      </w:r>
      <w:hyperlink r:id="rId7">
        <w:r w:rsidDel="00000000" w:rsidR="00000000" w:rsidRPr="00000000">
          <w:rPr>
            <w:rFonts w:ascii="Times New Roman" w:cs="Times New Roman" w:eastAsia="Times New Roman" w:hAnsi="Times New Roman"/>
            <w:color w:val="0000ee"/>
            <w:sz w:val="28"/>
            <w:szCs w:val="28"/>
            <w:u w:val="single"/>
            <w:rtl w:val="0"/>
          </w:rPr>
          <w:t xml:space="preserve">De Paul Dataset Dashboard</w:t>
        </w:r>
      </w:hyperlink>
      <w:r w:rsidDel="00000000" w:rsidR="00000000" w:rsidRPr="00000000">
        <w:rPr>
          <w:rtl w:val="0"/>
        </w:rPr>
      </w:r>
    </w:p>
    <w:p w:rsidR="00000000" w:rsidDel="00000000" w:rsidP="00000000" w:rsidRDefault="00000000" w:rsidRPr="00000000" w14:paraId="00000077">
      <w:pPr>
        <w:ind w:right="-900"/>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45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87pG_jW2w1Shem-uT0JsSvIQ-l8eD4OH?usp=drive_link" TargetMode="External"/><Relationship Id="rId7" Type="http://schemas.openxmlformats.org/officeDocument/2006/relationships/hyperlink" Target="https://drive.google.com/drive/folders/187pG_jW2w1Shem-uT0JsSvIQ-l8eD4OH?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