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SecureLaunch AI Project Scope</w:t>
      </w:r>
    </w:p>
    <w:p>
      <w:pPr>
        <w:pStyle w:val="Subtitle"/>
      </w:pPr>
      <w:r>
        <w:t>Business scenario, security question, and assessment boundaries</w:t>
      </w:r>
    </w:p>
    <w:tbl>
      <w:tblPr>
        <w:tblW w:type="auto" w:w="0"/>
        <w:jc w:val="left"/>
        <w:tblLayout w:type="fixed"/>
        <w:tblLook w:firstColumn="1" w:firstRow="1" w:lastColumn="0" w:lastRow="0" w:noHBand="0" w:noVBand="1" w:val="04A0"/>
      </w:tblPr>
      <w:tblGrid>
        <w:gridCol w:w="2232"/>
        <w:gridCol w:w="7416"/>
      </w:tblGrid>
      <w:tr>
        <w:tc>
          <w:tcPr>
            <w:tcW w:type="dxa" w:w="4939"/>
            <w:tcBorders>
              <w:top w:val="single" w:sz="0" w:color="FFFFFF"/>
              <w:left w:val="single" w:sz="0" w:color="FFFFFF"/>
              <w:bottom w:val="single" w:sz="0" w:color="FFFFFF"/>
              <w:right w:val="single" w:sz="0" w:color="FFFFFF"/>
              <w:insideH w:val="single" w:sz="0" w:color="FFFFFF"/>
              <w:insideV w:val="single" w:sz="0" w:color="FFFFFF"/>
            </w:tcBorders>
            <w:tcMar>
              <w:top w:w="70" w:type="dxa"/>
              <w:start w:w="140" w:type="dxa"/>
              <w:bottom w:w="70" w:type="dxa"/>
              <w:end w:w="140" w:type="dxa"/>
            </w:tcMar>
            <w:vAlign w:val="center"/>
            <w:shd w:fill="EEE8FF"/>
          </w:tcPr>
          <w:p>
            <w:r>
              <w:rPr>
                <w:b/>
                <w:color w:val="24213D"/>
              </w:rPr>
              <w:t>Author</w:t>
            </w:r>
          </w:p>
        </w:tc>
        <w:tc>
          <w:tcPr>
            <w:tcW w:type="dxa" w:w="4939"/>
            <w:tcBorders>
              <w:top w:val="single" w:sz="0" w:color="FFFFFF"/>
              <w:left w:val="single" w:sz="0" w:color="FFFFFF"/>
              <w:bottom w:val="single" w:sz="0" w:color="FFFFFF"/>
              <w:right w:val="single" w:sz="0" w:color="FFFFFF"/>
              <w:insideH w:val="single" w:sz="0" w:color="FFFFFF"/>
              <w:insideV w:val="single" w:sz="0" w:color="FFFFFF"/>
            </w:tcBorders>
            <w:tcMar>
              <w:top w:w="70" w:type="dxa"/>
              <w:start w:w="140" w:type="dxa"/>
              <w:bottom w:w="70" w:type="dxa"/>
              <w:end w:w="140" w:type="dxa"/>
            </w:tcMar>
            <w:vAlign w:val="center"/>
          </w:tcPr>
          <w:p>
            <w:r>
              <w:t>Eniola Durojaiye</w:t>
            </w:r>
          </w:p>
        </w:tc>
      </w:tr>
      <w:tr>
        <w:tc>
          <w:tcPr>
            <w:tcW w:type="dxa" w:w="4939"/>
            <w:tcBorders>
              <w:top w:val="single" w:sz="0" w:color="FFFFFF"/>
              <w:left w:val="single" w:sz="0" w:color="FFFFFF"/>
              <w:bottom w:val="single" w:sz="0" w:color="FFFFFF"/>
              <w:right w:val="single" w:sz="0" w:color="FFFFFF"/>
              <w:insideH w:val="single" w:sz="0" w:color="FFFFFF"/>
              <w:insideV w:val="single" w:sz="0" w:color="FFFFFF"/>
            </w:tcBorders>
            <w:tcMar>
              <w:top w:w="70" w:type="dxa"/>
              <w:start w:w="140" w:type="dxa"/>
              <w:bottom w:w="70" w:type="dxa"/>
              <w:end w:w="140" w:type="dxa"/>
            </w:tcMar>
            <w:vAlign w:val="center"/>
            <w:shd w:fill="EEE8FF"/>
          </w:tcPr>
          <w:p>
            <w:r>
              <w:rPr>
                <w:b/>
                <w:color w:val="24213D"/>
              </w:rPr>
              <w:t>Analysis dates</w:t>
            </w:r>
          </w:p>
        </w:tc>
        <w:tc>
          <w:tcPr>
            <w:tcW w:type="dxa" w:w="4939"/>
            <w:tcBorders>
              <w:top w:val="single" w:sz="0" w:color="FFFFFF"/>
              <w:left w:val="single" w:sz="0" w:color="FFFFFF"/>
              <w:bottom w:val="single" w:sz="0" w:color="FFFFFF"/>
              <w:right w:val="single" w:sz="0" w:color="FFFFFF"/>
              <w:insideH w:val="single" w:sz="0" w:color="FFFFFF"/>
              <w:insideV w:val="single" w:sz="0" w:color="FFFFFF"/>
            </w:tcBorders>
            <w:tcMar>
              <w:top w:w="70" w:type="dxa"/>
              <w:start w:w="140" w:type="dxa"/>
              <w:bottom w:w="70" w:type="dxa"/>
              <w:end w:w="140" w:type="dxa"/>
            </w:tcMar>
            <w:vAlign w:val="center"/>
          </w:tcPr>
          <w:p>
            <w:r>
              <w:t>September 4-7, 2026</w:t>
            </w:r>
          </w:p>
        </w:tc>
      </w:tr>
      <w:tr>
        <w:tc>
          <w:tcPr>
            <w:tcW w:type="dxa" w:w="4939"/>
            <w:tcBorders>
              <w:top w:val="single" w:sz="0" w:color="FFFFFF"/>
              <w:left w:val="single" w:sz="0" w:color="FFFFFF"/>
              <w:bottom w:val="single" w:sz="0" w:color="FFFFFF"/>
              <w:right w:val="single" w:sz="0" w:color="FFFFFF"/>
              <w:insideH w:val="single" w:sz="0" w:color="FFFFFF"/>
              <w:insideV w:val="single" w:sz="0" w:color="FFFFFF"/>
            </w:tcBorders>
            <w:tcMar>
              <w:top w:w="70" w:type="dxa"/>
              <w:start w:w="140" w:type="dxa"/>
              <w:bottom w:w="70" w:type="dxa"/>
              <w:end w:w="140" w:type="dxa"/>
            </w:tcMar>
            <w:vAlign w:val="center"/>
            <w:shd w:fill="EEE8FF"/>
          </w:tcPr>
          <w:p>
            <w:r>
              <w:rPr>
                <w:b/>
                <w:color w:val="24213D"/>
              </w:rPr>
              <w:t>Reviewer edition</w:t>
            </w:r>
          </w:p>
        </w:tc>
        <w:tc>
          <w:tcPr>
            <w:tcW w:type="dxa" w:w="4939"/>
            <w:tcBorders>
              <w:top w:val="single" w:sz="0" w:color="FFFFFF"/>
              <w:left w:val="single" w:sz="0" w:color="FFFFFF"/>
              <w:bottom w:val="single" w:sz="0" w:color="FFFFFF"/>
              <w:right w:val="single" w:sz="0" w:color="FFFFFF"/>
              <w:insideH w:val="single" w:sz="0" w:color="FFFFFF"/>
              <w:insideV w:val="single" w:sz="0" w:color="FFFFFF"/>
            </w:tcBorders>
            <w:tcMar>
              <w:top w:w="70" w:type="dxa"/>
              <w:start w:w="140" w:type="dxa"/>
              <w:bottom w:w="70" w:type="dxa"/>
              <w:end w:w="140" w:type="dxa"/>
            </w:tcMar>
            <w:vAlign w:val="center"/>
          </w:tcPr>
          <w:p>
            <w:r>
              <w:t>September 16, 2026</w:t>
            </w:r>
          </w:p>
        </w:tc>
      </w:tr>
    </w:tbl>
    <w:p/>
    <w:p>
      <w:r>
        <w:rPr>
          <w:b/>
          <w:color w:val="7152D6"/>
        </w:rPr>
        <w:t xml:space="preserve">Evidence boundary  </w:t>
      </w:r>
      <w:r>
        <w:t>I created LindenArc as a realistic business scenario and used synthetic records so I could test security controls without using real customer information. The Python gateway, automated tests, risk analysis, Amazon Bedrock Guardrail configuration, and recorded AWS test results are real project work.</w:t>
      </w:r>
    </w:p>
    <w:p>
      <w:pPr>
        <w:pStyle w:val="Heading1"/>
      </w:pPr>
      <w:r>
        <w:t>Purpose and conclusion</w:t>
      </w:r>
    </w:p>
    <w:p>
      <w:r>
        <w:t>I created this case study to examine how a financial software company could use an external AI service without sending unnecessary customer information outside the organization. My conclusion was that the AI route needed a security gateway before any external API request, a separate return-path validation step, and human review of every result.</w:t>
      </w:r>
    </w:p>
    <w:p>
      <w:pPr>
        <w:pStyle w:val="Heading1"/>
      </w:pPr>
      <w:r>
        <w:t>The business scenario</w:t>
      </w:r>
    </w:p>
    <w:p>
      <w:r>
        <w:t>LindenArc is a fictional business-to-business financial software company that supports invoice, expense, approval, and payment workflows. I proposed Signal as an AI-assisted support feature that could summarize a ticket and identify an approved troubleshooting category. The external AI provider would supply a draft summary, but LindenArc would retain control over the customer record, the security policy, and the final support action.</w:t>
      </w:r>
    </w:p>
    <w:p>
      <w:pPr>
        <w:pStyle w:val="Heading1"/>
      </w:pPr>
      <w:r>
        <w:t>The security question</w:t>
      </w:r>
    </w:p>
    <w:p>
      <w:r>
        <w:t>The central question was: how can support staff gain useful context from AI without expanding the exposure of customer information or granting the model business authority?</w:t>
      </w:r>
    </w:p>
    <w:p>
      <w:pPr>
        <w:pStyle w:val="ListBullet"/>
        <w:spacing w:after="60"/>
      </w:pPr>
      <w:r>
        <w:t>Inspect and minimize a support ticket before constructing any external request.</w:t>
      </w:r>
    </w:p>
    <w:p>
      <w:pPr>
        <w:pStyle w:val="ListBullet"/>
        <w:spacing w:after="60"/>
      </w:pPr>
      <w:r>
        <w:t>Mask approved lower-risk identifiers while preserving useful troubleshooting context.</w:t>
      </w:r>
    </w:p>
    <w:p>
      <w:pPr>
        <w:pStyle w:val="ListBullet"/>
        <w:spacing w:after="60"/>
      </w:pPr>
      <w:r>
        <w:t>Block restricted identity, financial, credential, and manipulation cases.</w:t>
      </w:r>
    </w:p>
    <w:p>
      <w:pPr>
        <w:pStyle w:val="ListBullet"/>
        <w:spacing w:after="60"/>
      </w:pPr>
      <w:r>
        <w:t>Validate the returned content before displaying it to a support agent.</w:t>
      </w:r>
    </w:p>
    <w:p>
      <w:pPr>
        <w:pStyle w:val="ListBullet"/>
        <w:spacing w:after="60"/>
      </w:pPr>
      <w:r>
        <w:t>Keep the AI outside payment, account-change, communication, and publishing authority.</w:t>
      </w:r>
    </w:p>
    <w:p>
      <w:pPr>
        <w:pStyle w:val="Heading1"/>
      </w:pPr>
      <w:r>
        <w:t>What Signal can and cannot do</w:t>
      </w:r>
    </w:p>
    <w:tbl>
      <w:tblPr>
        <w:tblW w:type="auto" w:w="0"/>
        <w:jc w:val="center"/>
        <w:tblLayout w:type="autofit"/>
        <w:tblLook w:firstColumn="1" w:firstRow="1" w:lastColumn="0" w:lastRow="0" w:noHBand="0" w:noVBand="1" w:val="04A0"/>
      </w:tblPr>
      <w:tblGrid>
        <w:gridCol w:w="4939"/>
        <w:gridCol w:w="4939"/>
      </w:tblGrid>
      <w:tr>
        <w:trPr>
          <w:tblHeader/>
        </w:trPr>
        <w:tc>
          <w:tcPr>
            <w:tcW w:type="dxa" w:w="3456"/>
            <w:shd w:fill="32304A"/>
            <w:tcBorders>
              <w:top w:val="single" w:sz="6" w:color="D9D5E2"/>
              <w:left w:val="single" w:sz="6" w:color="D9D5E2"/>
              <w:bottom w:val="single" w:sz="6" w:color="D9D5E2"/>
              <w:right w:val="single" w:sz="6" w:color="D9D5E2"/>
              <w:insideH w:val="single" w:sz="6" w:color="D9D5E2"/>
              <w:insideV w:val="single" w:sz="6" w:color="D9D5E2"/>
            </w:tcBorders>
            <w:tcMar>
              <w:top w:w="90" w:type="dxa"/>
              <w:start w:w="140" w:type="dxa"/>
              <w:bottom w:w="90" w:type="dxa"/>
              <w:end w:w="140" w:type="dxa"/>
            </w:tcMar>
          </w:tcPr>
          <w:p>
            <w:pPr>
              <w:jc w:val="left"/>
            </w:pPr>
            <w:r>
              <w:rPr>
                <w:b/>
                <w:color w:val="FFFFFF"/>
              </w:rPr>
              <w:t>Permitted capability</w:t>
            </w:r>
          </w:p>
        </w:tc>
        <w:tc>
          <w:tcPr>
            <w:tcW w:type="dxa" w:w="6192"/>
            <w:shd w:fill="32304A"/>
            <w:tcBorders>
              <w:top w:val="single" w:sz="6" w:color="D9D5E2"/>
              <w:left w:val="single" w:sz="6" w:color="D9D5E2"/>
              <w:bottom w:val="single" w:sz="6" w:color="D9D5E2"/>
              <w:right w:val="single" w:sz="6" w:color="D9D5E2"/>
              <w:insideH w:val="single" w:sz="6" w:color="D9D5E2"/>
              <w:insideV w:val="single" w:sz="6" w:color="D9D5E2"/>
            </w:tcBorders>
            <w:tcMar>
              <w:top w:w="90" w:type="dxa"/>
              <w:start w:w="140" w:type="dxa"/>
              <w:bottom w:w="90" w:type="dxa"/>
              <w:end w:w="140" w:type="dxa"/>
            </w:tcMar>
          </w:tcPr>
          <w:p>
            <w:pPr>
              <w:jc w:val="left"/>
            </w:pPr>
            <w:r>
              <w:rPr>
                <w:b/>
                <w:color w:val="FFFFFF"/>
              </w:rPr>
              <w:t>Required boundary</w:t>
            </w:r>
          </w:p>
        </w:tc>
      </w:tr>
      <w:tr>
        <w:tc>
          <w:tcPr>
            <w:tcW w:type="dxa" w:w="3456"/>
            <w:shd w:fill="FFFFFF"/>
            <w:tcBorders>
              <w:top w:val="single" w:sz="6" w:color="D9D5E2"/>
              <w:left w:val="single" w:sz="6" w:color="D9D5E2"/>
              <w:bottom w:val="single" w:sz="6" w:color="D9D5E2"/>
              <w:right w:val="single" w:sz="6" w:color="D9D5E2"/>
              <w:insideH w:val="single" w:sz="6" w:color="D9D5E2"/>
              <w:insideV w:val="single" w:sz="6" w:color="D9D5E2"/>
            </w:tcBorders>
            <w:tcMar>
              <w:top w:w="90" w:type="dxa"/>
              <w:start w:w="140" w:type="dxa"/>
              <w:bottom w:w="90" w:type="dxa"/>
              <w:end w:w="140" w:type="dxa"/>
            </w:tcMar>
            <w:vAlign w:val="center"/>
          </w:tcPr>
          <w:p>
            <w:pPr>
              <w:spacing w:after="0" w:line="259" w:lineRule="auto"/>
            </w:pPr>
            <w:r>
              <w:rPr>
                <w:sz w:val="18"/>
              </w:rPr>
              <w:t>Summarize the support problem</w:t>
            </w:r>
          </w:p>
        </w:tc>
        <w:tc>
          <w:tcPr>
            <w:tcW w:type="dxa" w:w="6192"/>
            <w:shd w:fill="FFFFFF"/>
            <w:tcBorders>
              <w:top w:val="single" w:sz="6" w:color="D9D5E2"/>
              <w:left w:val="single" w:sz="6" w:color="D9D5E2"/>
              <w:bottom w:val="single" w:sz="6" w:color="D9D5E2"/>
              <w:right w:val="single" w:sz="6" w:color="D9D5E2"/>
              <w:insideH w:val="single" w:sz="6" w:color="D9D5E2"/>
              <w:insideV w:val="single" w:sz="6" w:color="D9D5E2"/>
            </w:tcBorders>
            <w:tcMar>
              <w:top w:w="90" w:type="dxa"/>
              <w:start w:w="140" w:type="dxa"/>
              <w:bottom w:w="90" w:type="dxa"/>
              <w:end w:w="140" w:type="dxa"/>
            </w:tcMar>
            <w:vAlign w:val="center"/>
          </w:tcPr>
          <w:p>
            <w:pPr>
              <w:spacing w:after="0" w:line="259" w:lineRule="auto"/>
            </w:pPr>
            <w:r>
              <w:rPr>
                <w:sz w:val="18"/>
              </w:rPr>
              <w:t>Only minimized and approved text may enter the external request</w:t>
            </w:r>
          </w:p>
        </w:tc>
      </w:tr>
      <w:tr>
        <w:tc>
          <w:tcPr>
            <w:tcW w:type="dxa" w:w="3456"/>
            <w:shd w:fill="F7F5FB"/>
            <w:tcBorders>
              <w:top w:val="single" w:sz="6" w:color="D9D5E2"/>
              <w:left w:val="single" w:sz="6" w:color="D9D5E2"/>
              <w:bottom w:val="single" w:sz="6" w:color="D9D5E2"/>
              <w:right w:val="single" w:sz="6" w:color="D9D5E2"/>
              <w:insideH w:val="single" w:sz="6" w:color="D9D5E2"/>
              <w:insideV w:val="single" w:sz="6" w:color="D9D5E2"/>
            </w:tcBorders>
            <w:tcMar>
              <w:top w:w="90" w:type="dxa"/>
              <w:start w:w="140" w:type="dxa"/>
              <w:bottom w:w="90" w:type="dxa"/>
              <w:end w:w="140" w:type="dxa"/>
            </w:tcMar>
            <w:vAlign w:val="center"/>
          </w:tcPr>
          <w:p>
            <w:pPr>
              <w:spacing w:after="0" w:line="259" w:lineRule="auto"/>
            </w:pPr>
            <w:r>
              <w:rPr>
                <w:sz w:val="18"/>
              </w:rPr>
              <w:t>Suggest an approved issue category</w:t>
            </w:r>
          </w:p>
        </w:tc>
        <w:tc>
          <w:tcPr>
            <w:tcW w:type="dxa" w:w="6192"/>
            <w:shd w:fill="F7F5FB"/>
            <w:tcBorders>
              <w:top w:val="single" w:sz="6" w:color="D9D5E2"/>
              <w:left w:val="single" w:sz="6" w:color="D9D5E2"/>
              <w:bottom w:val="single" w:sz="6" w:color="D9D5E2"/>
              <w:right w:val="single" w:sz="6" w:color="D9D5E2"/>
              <w:insideH w:val="single" w:sz="6" w:color="D9D5E2"/>
              <w:insideV w:val="single" w:sz="6" w:color="D9D5E2"/>
            </w:tcBorders>
            <w:tcMar>
              <w:top w:w="90" w:type="dxa"/>
              <w:start w:w="140" w:type="dxa"/>
              <w:bottom w:w="90" w:type="dxa"/>
              <w:end w:w="140" w:type="dxa"/>
            </w:tcMar>
            <w:vAlign w:val="center"/>
          </w:tcPr>
          <w:p>
            <w:pPr>
              <w:spacing w:after="0" w:line="259" w:lineRule="auto"/>
            </w:pPr>
            <w:r>
              <w:rPr>
                <w:sz w:val="18"/>
              </w:rPr>
              <w:t>The response must match a strict schema and allowed category list</w:t>
            </w:r>
          </w:p>
        </w:tc>
      </w:tr>
      <w:tr>
        <w:tc>
          <w:tcPr>
            <w:tcW w:type="dxa" w:w="3456"/>
            <w:shd w:fill="FFFFFF"/>
            <w:tcBorders>
              <w:top w:val="single" w:sz="6" w:color="D9D5E2"/>
              <w:left w:val="single" w:sz="6" w:color="D9D5E2"/>
              <w:bottom w:val="single" w:sz="6" w:color="D9D5E2"/>
              <w:right w:val="single" w:sz="6" w:color="D9D5E2"/>
              <w:insideH w:val="single" w:sz="6" w:color="D9D5E2"/>
              <w:insideV w:val="single" w:sz="6" w:color="D9D5E2"/>
            </w:tcBorders>
            <w:tcMar>
              <w:top w:w="90" w:type="dxa"/>
              <w:start w:w="140" w:type="dxa"/>
              <w:bottom w:w="90" w:type="dxa"/>
              <w:end w:w="140" w:type="dxa"/>
            </w:tcMar>
            <w:vAlign w:val="center"/>
          </w:tcPr>
          <w:p>
            <w:pPr>
              <w:spacing w:after="0" w:line="259" w:lineRule="auto"/>
            </w:pPr>
            <w:r>
              <w:rPr>
                <w:sz w:val="18"/>
              </w:rPr>
              <w:t>Help an agent find a playbook</w:t>
            </w:r>
          </w:p>
        </w:tc>
        <w:tc>
          <w:tcPr>
            <w:tcW w:type="dxa" w:w="6192"/>
            <w:shd w:fill="FFFFFF"/>
            <w:tcBorders>
              <w:top w:val="single" w:sz="6" w:color="D9D5E2"/>
              <w:left w:val="single" w:sz="6" w:color="D9D5E2"/>
              <w:bottom w:val="single" w:sz="6" w:color="D9D5E2"/>
              <w:right w:val="single" w:sz="6" w:color="D9D5E2"/>
              <w:insideH w:val="single" w:sz="6" w:color="D9D5E2"/>
              <w:insideV w:val="single" w:sz="6" w:color="D9D5E2"/>
            </w:tcBorders>
            <w:tcMar>
              <w:top w:w="90" w:type="dxa"/>
              <w:start w:w="140" w:type="dxa"/>
              <w:bottom w:w="90" w:type="dxa"/>
              <w:end w:w="140" w:type="dxa"/>
            </w:tcMar>
            <w:vAlign w:val="center"/>
          </w:tcPr>
          <w:p>
            <w:pPr>
              <w:spacing w:after="0" w:line="259" w:lineRule="auto"/>
            </w:pPr>
            <w:r>
              <w:rPr>
                <w:sz w:val="18"/>
              </w:rPr>
              <w:t>LindenArc retrieves the human-authored playbook after response validation</w:t>
            </w:r>
          </w:p>
        </w:tc>
      </w:tr>
      <w:tr>
        <w:tc>
          <w:tcPr>
            <w:tcW w:type="dxa" w:w="3456"/>
            <w:shd w:fill="F7F5FB"/>
            <w:tcBorders>
              <w:top w:val="single" w:sz="6" w:color="D9D5E2"/>
              <w:left w:val="single" w:sz="6" w:color="D9D5E2"/>
              <w:bottom w:val="single" w:sz="6" w:color="D9D5E2"/>
              <w:right w:val="single" w:sz="6" w:color="D9D5E2"/>
              <w:insideH w:val="single" w:sz="6" w:color="D9D5E2"/>
              <w:insideV w:val="single" w:sz="6" w:color="D9D5E2"/>
            </w:tcBorders>
            <w:tcMar>
              <w:top w:w="90" w:type="dxa"/>
              <w:start w:w="140" w:type="dxa"/>
              <w:bottom w:w="90" w:type="dxa"/>
              <w:end w:w="140" w:type="dxa"/>
            </w:tcMar>
            <w:vAlign w:val="center"/>
          </w:tcPr>
          <w:p>
            <w:pPr>
              <w:spacing w:after="0" w:line="259" w:lineRule="auto"/>
            </w:pPr>
            <w:r>
              <w:rPr>
                <w:sz w:val="18"/>
              </w:rPr>
              <w:t>Execute an account or payment action</w:t>
            </w:r>
          </w:p>
        </w:tc>
        <w:tc>
          <w:tcPr>
            <w:tcW w:type="dxa" w:w="6192"/>
            <w:shd w:fill="F7F5FB"/>
            <w:tcBorders>
              <w:top w:val="single" w:sz="6" w:color="D9D5E2"/>
              <w:left w:val="single" w:sz="6" w:color="D9D5E2"/>
              <w:bottom w:val="single" w:sz="6" w:color="D9D5E2"/>
              <w:right w:val="single" w:sz="6" w:color="D9D5E2"/>
              <w:insideH w:val="single" w:sz="6" w:color="D9D5E2"/>
              <w:insideV w:val="single" w:sz="6" w:color="D9D5E2"/>
            </w:tcBorders>
            <w:tcMar>
              <w:top w:w="90" w:type="dxa"/>
              <w:start w:w="140" w:type="dxa"/>
              <w:bottom w:w="90" w:type="dxa"/>
              <w:end w:w="140" w:type="dxa"/>
            </w:tcMar>
            <w:vAlign w:val="center"/>
          </w:tcPr>
          <w:p>
            <w:pPr>
              <w:spacing w:after="0" w:line="259" w:lineRule="auto"/>
            </w:pPr>
            <w:r>
              <w:rPr>
                <w:sz w:val="18"/>
              </w:rPr>
              <w:t>Prohibited. The model receives no tool, payment, or account-change authority</w:t>
            </w:r>
          </w:p>
        </w:tc>
      </w:tr>
    </w:tbl>
    <w:p/>
    <w:p>
      <w:pPr>
        <w:pStyle w:val="Heading1"/>
      </w:pPr>
      <w:r>
        <w:t>My role and deliverables</w:t>
      </w:r>
    </w:p>
    <w:p>
      <w:r>
        <w:t>I acted as the security analyst for the scenario. I defined the system boundaries, mapped the data, completed the threat and risk analysis, developed and tested the Python security gateway, and independently configured and validated Amazon Bedrock Guardrails. I kept findings from the local prototype separate from the AWS evidence so each result remained accurate.</w:t>
      </w:r>
    </w:p>
    <w:tbl>
      <w:tblPr>
        <w:tblW w:type="auto" w:w="0"/>
        <w:jc w:val="center"/>
        <w:tblLayout w:type="autofit"/>
        <w:tblLook w:firstColumn="1" w:firstRow="1" w:lastColumn="0" w:lastRow="0" w:noHBand="0" w:noVBand="1" w:val="04A0"/>
      </w:tblPr>
      <w:tblGrid>
        <w:gridCol w:w="4939"/>
        <w:gridCol w:w="4939"/>
      </w:tblGrid>
      <w:tr>
        <w:trPr>
          <w:tblHeader/>
        </w:trPr>
        <w:tc>
          <w:tcPr>
            <w:tcW w:type="dxa" w:w="3168"/>
            <w:shd w:fill="32304A"/>
            <w:tcBorders>
              <w:top w:val="single" w:sz="6" w:color="D9D5E2"/>
              <w:left w:val="single" w:sz="6" w:color="D9D5E2"/>
              <w:bottom w:val="single" w:sz="6" w:color="D9D5E2"/>
              <w:right w:val="single" w:sz="6" w:color="D9D5E2"/>
              <w:insideH w:val="single" w:sz="6" w:color="D9D5E2"/>
              <w:insideV w:val="single" w:sz="6" w:color="D9D5E2"/>
            </w:tcBorders>
            <w:tcMar>
              <w:top w:w="90" w:type="dxa"/>
              <w:start w:w="140" w:type="dxa"/>
              <w:bottom w:w="90" w:type="dxa"/>
              <w:end w:w="140" w:type="dxa"/>
            </w:tcMar>
          </w:tcPr>
          <w:p>
            <w:pPr>
              <w:jc w:val="left"/>
            </w:pPr>
            <w:r>
              <w:rPr>
                <w:b/>
                <w:color w:val="FFFFFF"/>
              </w:rPr>
              <w:t>Deliverable</w:t>
            </w:r>
          </w:p>
        </w:tc>
        <w:tc>
          <w:tcPr>
            <w:tcW w:type="dxa" w:w="6480"/>
            <w:shd w:fill="32304A"/>
            <w:tcBorders>
              <w:top w:val="single" w:sz="6" w:color="D9D5E2"/>
              <w:left w:val="single" w:sz="6" w:color="D9D5E2"/>
              <w:bottom w:val="single" w:sz="6" w:color="D9D5E2"/>
              <w:right w:val="single" w:sz="6" w:color="D9D5E2"/>
              <w:insideH w:val="single" w:sz="6" w:color="D9D5E2"/>
              <w:insideV w:val="single" w:sz="6" w:color="D9D5E2"/>
            </w:tcBorders>
            <w:tcMar>
              <w:top w:w="90" w:type="dxa"/>
              <w:start w:w="140" w:type="dxa"/>
              <w:bottom w:w="90" w:type="dxa"/>
              <w:end w:w="140" w:type="dxa"/>
            </w:tcMar>
          </w:tcPr>
          <w:p>
            <w:pPr>
              <w:jc w:val="left"/>
            </w:pPr>
            <w:r>
              <w:rPr>
                <w:b/>
                <w:color w:val="FFFFFF"/>
              </w:rPr>
              <w:t>What it contributes</w:t>
            </w:r>
          </w:p>
        </w:tc>
      </w:tr>
      <w:tr>
        <w:tc>
          <w:tcPr>
            <w:tcW w:type="dxa" w:w="3168"/>
            <w:shd w:fill="FFFFFF"/>
            <w:tcBorders>
              <w:top w:val="single" w:sz="6" w:color="D9D5E2"/>
              <w:left w:val="single" w:sz="6" w:color="D9D5E2"/>
              <w:bottom w:val="single" w:sz="6" w:color="D9D5E2"/>
              <w:right w:val="single" w:sz="6" w:color="D9D5E2"/>
              <w:insideH w:val="single" w:sz="6" w:color="D9D5E2"/>
              <w:insideV w:val="single" w:sz="6" w:color="D9D5E2"/>
            </w:tcBorders>
            <w:tcMar>
              <w:top w:w="90" w:type="dxa"/>
              <w:start w:w="140" w:type="dxa"/>
              <w:bottom w:w="90" w:type="dxa"/>
              <w:end w:w="140" w:type="dxa"/>
            </w:tcMar>
            <w:vAlign w:val="center"/>
          </w:tcPr>
          <w:p>
            <w:pPr>
              <w:spacing w:after="0" w:line="259" w:lineRule="auto"/>
            </w:pPr>
            <w:r>
              <w:rPr>
                <w:sz w:val="18"/>
              </w:rPr>
              <w:t>Scenario charter</w:t>
            </w:r>
          </w:p>
        </w:tc>
        <w:tc>
          <w:tcPr>
            <w:tcW w:type="dxa" w:w="6480"/>
            <w:shd w:fill="FFFFFF"/>
            <w:tcBorders>
              <w:top w:val="single" w:sz="6" w:color="D9D5E2"/>
              <w:left w:val="single" w:sz="6" w:color="D9D5E2"/>
              <w:bottom w:val="single" w:sz="6" w:color="D9D5E2"/>
              <w:right w:val="single" w:sz="6" w:color="D9D5E2"/>
              <w:insideH w:val="single" w:sz="6" w:color="D9D5E2"/>
              <w:insideV w:val="single" w:sz="6" w:color="D9D5E2"/>
            </w:tcBorders>
            <w:tcMar>
              <w:top w:w="90" w:type="dxa"/>
              <w:start w:w="140" w:type="dxa"/>
              <w:bottom w:w="90" w:type="dxa"/>
              <w:end w:w="140" w:type="dxa"/>
            </w:tcMar>
            <w:vAlign w:val="center"/>
          </w:tcPr>
          <w:p>
            <w:pPr>
              <w:spacing w:after="0" w:line="259" w:lineRule="auto"/>
            </w:pPr>
            <w:r>
              <w:rPr>
                <w:sz w:val="18"/>
              </w:rPr>
              <w:t>Defines the business need, trust boundary, permitted use, and exclusions</w:t>
            </w:r>
          </w:p>
        </w:tc>
      </w:tr>
      <w:tr>
        <w:tc>
          <w:tcPr>
            <w:tcW w:type="dxa" w:w="3168"/>
            <w:shd w:fill="F7F5FB"/>
            <w:tcBorders>
              <w:top w:val="single" w:sz="6" w:color="D9D5E2"/>
              <w:left w:val="single" w:sz="6" w:color="D9D5E2"/>
              <w:bottom w:val="single" w:sz="6" w:color="D9D5E2"/>
              <w:right w:val="single" w:sz="6" w:color="D9D5E2"/>
              <w:insideH w:val="single" w:sz="6" w:color="D9D5E2"/>
              <w:insideV w:val="single" w:sz="6" w:color="D9D5E2"/>
            </w:tcBorders>
            <w:tcMar>
              <w:top w:w="90" w:type="dxa"/>
              <w:start w:w="140" w:type="dxa"/>
              <w:bottom w:w="90" w:type="dxa"/>
              <w:end w:w="140" w:type="dxa"/>
            </w:tcMar>
            <w:vAlign w:val="center"/>
          </w:tcPr>
          <w:p>
            <w:pPr>
              <w:spacing w:after="0" w:line="259" w:lineRule="auto"/>
            </w:pPr>
            <w:r>
              <w:rPr>
                <w:sz w:val="18"/>
              </w:rPr>
              <w:t>Data inventory</w:t>
            </w:r>
          </w:p>
        </w:tc>
        <w:tc>
          <w:tcPr>
            <w:tcW w:type="dxa" w:w="6480"/>
            <w:shd w:fill="F7F5FB"/>
            <w:tcBorders>
              <w:top w:val="single" w:sz="6" w:color="D9D5E2"/>
              <w:left w:val="single" w:sz="6" w:color="D9D5E2"/>
              <w:bottom w:val="single" w:sz="6" w:color="D9D5E2"/>
              <w:right w:val="single" w:sz="6" w:color="D9D5E2"/>
              <w:insideH w:val="single" w:sz="6" w:color="D9D5E2"/>
              <w:insideV w:val="single" w:sz="6" w:color="D9D5E2"/>
            </w:tcBorders>
            <w:tcMar>
              <w:top w:w="90" w:type="dxa"/>
              <w:start w:w="140" w:type="dxa"/>
              <w:bottom w:w="90" w:type="dxa"/>
              <w:end w:w="140" w:type="dxa"/>
            </w:tcMar>
            <w:vAlign w:val="center"/>
          </w:tcPr>
          <w:p>
            <w:pPr>
              <w:spacing w:after="0" w:line="259" w:lineRule="auto"/>
            </w:pPr>
            <w:r>
              <w:rPr>
                <w:sz w:val="18"/>
              </w:rPr>
              <w:t>Identifies what information exists, where it moves, and what may reach AI</w:t>
            </w:r>
          </w:p>
        </w:tc>
      </w:tr>
      <w:tr>
        <w:tc>
          <w:tcPr>
            <w:tcW w:type="dxa" w:w="3168"/>
            <w:shd w:fill="FFFFFF"/>
            <w:tcBorders>
              <w:top w:val="single" w:sz="6" w:color="D9D5E2"/>
              <w:left w:val="single" w:sz="6" w:color="D9D5E2"/>
              <w:bottom w:val="single" w:sz="6" w:color="D9D5E2"/>
              <w:right w:val="single" w:sz="6" w:color="D9D5E2"/>
              <w:insideH w:val="single" w:sz="6" w:color="D9D5E2"/>
              <w:insideV w:val="single" w:sz="6" w:color="D9D5E2"/>
            </w:tcBorders>
            <w:tcMar>
              <w:top w:w="90" w:type="dxa"/>
              <w:start w:w="140" w:type="dxa"/>
              <w:bottom w:w="90" w:type="dxa"/>
              <w:end w:w="140" w:type="dxa"/>
            </w:tcMar>
            <w:vAlign w:val="center"/>
          </w:tcPr>
          <w:p>
            <w:pPr>
              <w:spacing w:after="0" w:line="259" w:lineRule="auto"/>
            </w:pPr>
            <w:r>
              <w:rPr>
                <w:sz w:val="18"/>
              </w:rPr>
              <w:t>PASTA threat model</w:t>
            </w:r>
          </w:p>
        </w:tc>
        <w:tc>
          <w:tcPr>
            <w:tcW w:type="dxa" w:w="6480"/>
            <w:shd w:fill="FFFFFF"/>
            <w:tcBorders>
              <w:top w:val="single" w:sz="6" w:color="D9D5E2"/>
              <w:left w:val="single" w:sz="6" w:color="D9D5E2"/>
              <w:bottom w:val="single" w:sz="6" w:color="D9D5E2"/>
              <w:right w:val="single" w:sz="6" w:color="D9D5E2"/>
              <w:insideH w:val="single" w:sz="6" w:color="D9D5E2"/>
              <w:insideV w:val="single" w:sz="6" w:color="D9D5E2"/>
            </w:tcBorders>
            <w:tcMar>
              <w:top w:w="90" w:type="dxa"/>
              <w:start w:w="140" w:type="dxa"/>
              <w:bottom w:w="90" w:type="dxa"/>
              <w:end w:w="140" w:type="dxa"/>
            </w:tcMar>
            <w:vAlign w:val="center"/>
          </w:tcPr>
          <w:p>
            <w:pPr>
              <w:spacing w:after="0" w:line="259" w:lineRule="auto"/>
            </w:pPr>
            <w:r>
              <w:rPr>
                <w:sz w:val="18"/>
              </w:rPr>
              <w:t>Connects the use case to threats, weaknesses, scenarios, and prioritized risks</w:t>
            </w:r>
          </w:p>
        </w:tc>
      </w:tr>
      <w:tr>
        <w:tc>
          <w:tcPr>
            <w:tcW w:type="dxa" w:w="3168"/>
            <w:shd w:fill="F7F5FB"/>
            <w:tcBorders>
              <w:top w:val="single" w:sz="6" w:color="D9D5E2"/>
              <w:left w:val="single" w:sz="6" w:color="D9D5E2"/>
              <w:bottom w:val="single" w:sz="6" w:color="D9D5E2"/>
              <w:right w:val="single" w:sz="6" w:color="D9D5E2"/>
              <w:insideH w:val="single" w:sz="6" w:color="D9D5E2"/>
              <w:insideV w:val="single" w:sz="6" w:color="D9D5E2"/>
            </w:tcBorders>
            <w:tcMar>
              <w:top w:w="90" w:type="dxa"/>
              <w:start w:w="140" w:type="dxa"/>
              <w:bottom w:w="90" w:type="dxa"/>
              <w:end w:w="140" w:type="dxa"/>
            </w:tcMar>
            <w:vAlign w:val="center"/>
          </w:tcPr>
          <w:p>
            <w:pPr>
              <w:spacing w:after="0" w:line="259" w:lineRule="auto"/>
            </w:pPr>
            <w:r>
              <w:rPr>
                <w:sz w:val="18"/>
              </w:rPr>
              <w:t>Python gateway</w:t>
            </w:r>
          </w:p>
        </w:tc>
        <w:tc>
          <w:tcPr>
            <w:tcW w:type="dxa" w:w="6480"/>
            <w:shd w:fill="F7F5FB"/>
            <w:tcBorders>
              <w:top w:val="single" w:sz="6" w:color="D9D5E2"/>
              <w:left w:val="single" w:sz="6" w:color="D9D5E2"/>
              <w:bottom w:val="single" w:sz="6" w:color="D9D5E2"/>
              <w:right w:val="single" w:sz="6" w:color="D9D5E2"/>
              <w:insideH w:val="single" w:sz="6" w:color="D9D5E2"/>
              <w:insideV w:val="single" w:sz="6" w:color="D9D5E2"/>
            </w:tcBorders>
            <w:tcMar>
              <w:top w:w="90" w:type="dxa"/>
              <w:start w:w="140" w:type="dxa"/>
              <w:bottom w:w="90" w:type="dxa"/>
              <w:end w:w="140" w:type="dxa"/>
            </w:tcMar>
            <w:vAlign w:val="center"/>
          </w:tcPr>
          <w:p>
            <w:pPr>
              <w:spacing w:after="0" w:line="259" w:lineRule="auto"/>
            </w:pPr>
            <w:r>
              <w:rPr>
                <w:sz w:val="18"/>
              </w:rPr>
              <w:t>Demonstrates minimization, masking, blocking, final inspection, and safe fallback</w:t>
            </w:r>
          </w:p>
        </w:tc>
      </w:tr>
      <w:tr>
        <w:tc>
          <w:tcPr>
            <w:tcW w:type="dxa" w:w="3168"/>
            <w:shd w:fill="FFFFFF"/>
            <w:tcBorders>
              <w:top w:val="single" w:sz="6" w:color="D9D5E2"/>
              <w:left w:val="single" w:sz="6" w:color="D9D5E2"/>
              <w:bottom w:val="single" w:sz="6" w:color="D9D5E2"/>
              <w:right w:val="single" w:sz="6" w:color="D9D5E2"/>
              <w:insideH w:val="single" w:sz="6" w:color="D9D5E2"/>
              <w:insideV w:val="single" w:sz="6" w:color="D9D5E2"/>
            </w:tcBorders>
            <w:tcMar>
              <w:top w:w="90" w:type="dxa"/>
              <w:start w:w="140" w:type="dxa"/>
              <w:bottom w:w="90" w:type="dxa"/>
              <w:end w:w="140" w:type="dxa"/>
            </w:tcMar>
            <w:vAlign w:val="center"/>
          </w:tcPr>
          <w:p>
            <w:pPr>
              <w:spacing w:after="0" w:line="259" w:lineRule="auto"/>
            </w:pPr>
            <w:r>
              <w:rPr>
                <w:sz w:val="18"/>
              </w:rPr>
              <w:t>AWS Guardrail lab</w:t>
            </w:r>
          </w:p>
        </w:tc>
        <w:tc>
          <w:tcPr>
            <w:tcW w:type="dxa" w:w="6480"/>
            <w:shd w:fill="FFFFFF"/>
            <w:tcBorders>
              <w:top w:val="single" w:sz="6" w:color="D9D5E2"/>
              <w:left w:val="single" w:sz="6" w:color="D9D5E2"/>
              <w:bottom w:val="single" w:sz="6" w:color="D9D5E2"/>
              <w:right w:val="single" w:sz="6" w:color="D9D5E2"/>
              <w:insideH w:val="single" w:sz="6" w:color="D9D5E2"/>
              <w:insideV w:val="single" w:sz="6" w:color="D9D5E2"/>
            </w:tcBorders>
            <w:tcMar>
              <w:top w:w="90" w:type="dxa"/>
              <w:start w:w="140" w:type="dxa"/>
              <w:bottom w:w="90" w:type="dxa"/>
              <w:end w:w="140" w:type="dxa"/>
            </w:tcMar>
            <w:vAlign w:val="center"/>
          </w:tcPr>
          <w:p>
            <w:pPr>
              <w:spacing w:after="0" w:line="259" w:lineRule="auto"/>
            </w:pPr>
            <w:r>
              <w:rPr>
                <w:sz w:val="18"/>
              </w:rPr>
              <w:t>Provides independent cloud evidence for selected data and prompt-attack cases</w:t>
            </w:r>
          </w:p>
        </w:tc>
      </w:tr>
    </w:tbl>
    <w:p/>
    <w:p>
      <w:pPr>
        <w:pStyle w:val="Heading1"/>
      </w:pPr>
      <w:r>
        <w:t>Assessment limits</w:t>
      </w:r>
    </w:p>
    <w:p>
      <w:r>
        <w:t>The scenario does not claim a production deployment, universal detection accuracy, legal compliance, or approval to launch. The synthetic tests demonstrate specific control behavior. Production tenant isolation, supplier terms, access controls, retention, deletion, monitoring, resilience, and real-model quality would require separate evidence.</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5D70"/>
        <w:sz w:val="17"/>
      </w:rPr>
      <w:t xml:space="preserve">Eniola Durojaiye  |  AI security case study  |  </w:t>
    </w: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7152D6"/>
        <w:sz w:val="17"/>
      </w:rPr>
      <w:t>SECURELAUNCH AI  |  PORTFOLIO EVIDENCE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ptos" w:hAnsi="Aptos"/>
      <w:color w:val="242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000000"/>
      <w:sz w:val="3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Aptos Display" w:hAnsi="Aptos Display"/>
      <w:b w:val="0"/>
      <w:i/>
      <w:iCs/>
      <w:color w:val="000000"/>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project scope and security boundary</dc:title>
  <dc:subject>SecureLaunch AI portfolio evidence</dc:subject>
  <dc:creator>Eniola Durojaiye</dc:creator>
  <cp:keywords/>
  <dc:description>generated by python-docx</dc:description>
  <cp:lastModifiedBy/>
  <cp:revision>1</cp:revision>
  <dcterms:created xsi:type="dcterms:W3CDTF">2013-12-23T23:15:00Z</dcterms:created>
  <dcterms:modified xsi:type="dcterms:W3CDTF">2013-12-23T23:15:00Z</dcterms:modified>
  <cp:category/>
</cp:coreProperties>
</file>