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SecureLaunch AI Data and Risk Analysis</w:t>
      </w:r>
    </w:p>
    <w:p>
      <w:pPr>
        <w:pStyle w:val="Subtitle"/>
      </w:pPr>
      <w:r>
        <w:t>Data lifecycle, threat modeling, and prioritized security concerns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416"/>
      </w:tblGrid>
      <w:tr>
        <w:tc>
          <w:tcPr>
            <w:tcW w:type="dxa" w:w="4939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  <w:shd w:fill="EEE8FF"/>
          </w:tcPr>
          <w:p>
            <w:r>
              <w:rPr>
                <w:b/>
                <w:color w:val="24213D"/>
              </w:rPr>
              <w:t>Author</w:t>
            </w:r>
          </w:p>
        </w:tc>
        <w:tc>
          <w:tcPr>
            <w:tcW w:type="dxa" w:w="4939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r>
              <w:t>Eniola Durojaiye</w:t>
            </w:r>
          </w:p>
        </w:tc>
      </w:tr>
      <w:tr>
        <w:tc>
          <w:tcPr>
            <w:tcW w:type="dxa" w:w="4939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  <w:shd w:fill="EEE8FF"/>
          </w:tcPr>
          <w:p>
            <w:r>
              <w:rPr>
                <w:b/>
                <w:color w:val="24213D"/>
              </w:rPr>
              <w:t>Analysis dates</w:t>
            </w:r>
          </w:p>
        </w:tc>
        <w:tc>
          <w:tcPr>
            <w:tcW w:type="dxa" w:w="4939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r>
              <w:t>September 5-9, 2026</w:t>
            </w:r>
          </w:p>
        </w:tc>
      </w:tr>
      <w:tr>
        <w:tc>
          <w:tcPr>
            <w:tcW w:type="dxa" w:w="4939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  <w:shd w:fill="EEE8FF"/>
          </w:tcPr>
          <w:p>
            <w:r>
              <w:rPr>
                <w:b/>
                <w:color w:val="24213D"/>
              </w:rPr>
              <w:t>Reviewer edition</w:t>
            </w:r>
          </w:p>
        </w:tc>
        <w:tc>
          <w:tcPr>
            <w:tcW w:type="dxa" w:w="4939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r>
              <w:t>September 16, 2026</w:t>
            </w:r>
          </w:p>
        </w:tc>
      </w:tr>
    </w:tbl>
    <w:p/>
    <w:p>
      <w:r>
        <w:rPr>
          <w:b/>
          <w:color w:val="7152D6"/>
        </w:rPr>
        <w:t xml:space="preserve">Evidence boundary  </w:t>
      </w:r>
      <w:r>
        <w:t>I created LindenArc as a realistic business scenario and used synthetic records so I could test security controls without using real customer information. The Python gateway, automated tests, risk analysis, Amazon Bedrock Guardrail configuration, and recorded AWS test results are real project work.</w:t>
      </w:r>
    </w:p>
    <w:p>
      <w:pPr>
        <w:pStyle w:val="Heading1"/>
      </w:pPr>
      <w:r>
        <w:t>Purpose and conclusion</w:t>
      </w:r>
    </w:p>
    <w:p>
      <w:r>
        <w:t>I traced the support-ticket lifecycle before selecting controls. This analysis showed that the highest-value portfolio question was not whether AI could summarize a ticket. It was whether LindenArc could prevent unnecessary or restricted information from entering the AI route and could stop unsafe output from influencing an agent.</w:t>
      </w:r>
    </w:p>
    <w:p>
      <w:pPr>
        <w:pStyle w:val="Heading1"/>
      </w:pPr>
      <w:r>
        <w:t>How I followed the data</w:t>
      </w:r>
    </w:p>
    <w:p>
      <w:pPr>
        <w:pStyle w:val="ListNumber"/>
        <w:spacing w:after="70"/>
      </w:pPr>
      <w:r>
        <w:t>The customer submits an original support ticket inside LindenArc.</w:t>
      </w:r>
    </w:p>
    <w:p>
      <w:pPr>
        <w:pStyle w:val="ListNumber"/>
        <w:spacing w:after="70"/>
      </w:pPr>
      <w:r>
        <w:t>The gateway removes fields that the external AI does not need, including tenant metadata, contact fields, account references, and attachments.</w:t>
      </w:r>
    </w:p>
    <w:p>
      <w:pPr>
        <w:pStyle w:val="ListNumber"/>
        <w:spacing w:after="70"/>
      </w:pPr>
      <w:r>
        <w:t>The gateway inspects the permitted text, masks selected identifiers, and blocks restricted information or manipulation attempts.</w:t>
      </w:r>
    </w:p>
    <w:p>
      <w:pPr>
        <w:pStyle w:val="ListNumber"/>
        <w:spacing w:after="70"/>
      </w:pPr>
      <w:r>
        <w:t>The exact outgoing JSON receives a second inspection before a provider call is possible.</w:t>
      </w:r>
    </w:p>
    <w:p>
      <w:pPr>
        <w:pStyle w:val="ListNumber"/>
        <w:spacing w:after="70"/>
      </w:pPr>
      <w:r>
        <w:t>The returned content is treated as untrusted, validated, and paired with a human-authored playbook for agent review.</w:t>
      </w:r>
    </w:p>
    <w:p>
      <w:pPr>
        <w:pStyle w:val="Heading1"/>
      </w:pPr>
      <w:r>
        <w:t>Data decisions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/>
        </w:trPr>
        <w:tc>
          <w:tcPr>
            <w:tcW w:type="dxa" w:w="2376"/>
            <w:shd w:fill="32304A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Information</w:t>
            </w:r>
          </w:p>
        </w:tc>
        <w:tc>
          <w:tcPr>
            <w:tcW w:type="dxa" w:w="3672"/>
            <w:shd w:fill="32304A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Classification and decision</w:t>
            </w:r>
          </w:p>
        </w:tc>
        <w:tc>
          <w:tcPr>
            <w:tcW w:type="dxa" w:w="3672"/>
            <w:shd w:fill="32304A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External AI treatment</w:t>
            </w:r>
          </w:p>
        </w:tc>
      </w:tr>
      <w:tr>
        <w:tc>
          <w:tcPr>
            <w:tcW w:type="dxa" w:w="2376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Original support ticket</w:t>
            </w:r>
          </w:p>
        </w:tc>
        <w:tc>
          <w:tcPr>
            <w:tcW w:type="dxa" w:w="3672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Confidential by default; may contain restricted content</w:t>
            </w:r>
          </w:p>
        </w:tc>
        <w:tc>
          <w:tcPr>
            <w:tcW w:type="dxa" w:w="3672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Send minimized text only after inspection</w:t>
            </w:r>
          </w:p>
        </w:tc>
      </w:tr>
      <w:tr>
        <w:tc>
          <w:tcPr>
            <w:tcW w:type="dxa" w:w="2376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Attachments</w:t>
            </w:r>
          </w:p>
        </w:tc>
        <w:tc>
          <w:tcPr>
            <w:tcW w:type="dxa" w:w="3672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Confidential or restricted according to content</w:t>
            </w:r>
          </w:p>
        </w:tc>
        <w:tc>
          <w:tcPr>
            <w:tcW w:type="dxa" w:w="3672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Do not send</w:t>
            </w:r>
          </w:p>
        </w:tc>
      </w:tr>
      <w:tr>
        <w:tc>
          <w:tcPr>
            <w:tcW w:type="dxa" w:w="2376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Working AI payload</w:t>
            </w:r>
          </w:p>
        </w:tc>
        <w:tc>
          <w:tcPr>
            <w:tcW w:type="dxa" w:w="3672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Confidential; restricted if a detector misses content</w:t>
            </w:r>
          </w:p>
        </w:tc>
        <w:tc>
          <w:tcPr>
            <w:tcW w:type="dxa" w:w="3672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Approved AI input after masking or blocking</w:t>
            </w:r>
          </w:p>
        </w:tc>
      </w:tr>
      <w:tr>
        <w:tc>
          <w:tcPr>
            <w:tcW w:type="dxa" w:w="2376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Draft summary and category</w:t>
            </w:r>
          </w:p>
        </w:tc>
        <w:tc>
          <w:tcPr>
            <w:tcW w:type="dxa" w:w="3672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Confidential derived information</w:t>
            </w:r>
          </w:p>
        </w:tc>
        <w:tc>
          <w:tcPr>
            <w:tcW w:type="dxa" w:w="3672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Validate before display or storage</w:t>
            </w:r>
          </w:p>
        </w:tc>
      </w:tr>
      <w:tr>
        <w:tc>
          <w:tcPr>
            <w:tcW w:type="dxa" w:w="2376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Credentials and payment data</w:t>
            </w:r>
          </w:p>
        </w:tc>
        <w:tc>
          <w:tcPr>
            <w:tcW w:type="dxa" w:w="3672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Restricted</w:t>
            </w:r>
          </w:p>
        </w:tc>
        <w:tc>
          <w:tcPr>
            <w:tcW w:type="dxa" w:w="3672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Block the AI route</w:t>
            </w:r>
          </w:p>
        </w:tc>
      </w:tr>
      <w:tr>
        <w:tc>
          <w:tcPr>
            <w:tcW w:type="dxa" w:w="2376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Synthetic evaluation records</w:t>
            </w:r>
          </w:p>
        </w:tc>
        <w:tc>
          <w:tcPr>
            <w:tcW w:type="dxa" w:w="3672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Internal during development; public only after review</w:t>
            </w:r>
          </w:p>
        </w:tc>
        <w:tc>
          <w:tcPr>
            <w:tcW w:type="dxa" w:w="3672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Use for local and AWS testing without real customer data</w:t>
            </w:r>
          </w:p>
        </w:tc>
      </w:tr>
    </w:tbl>
    <w:p/>
    <w:p>
      <w:pPr>
        <w:pStyle w:val="Heading1"/>
      </w:pPr>
      <w:r>
        <w:t>How I used PASTA</w:t>
      </w:r>
    </w:p>
    <w:p>
      <w:r>
        <w:t>I applied all seven PASTA stages so the threat model would begin with business objectives and end with prioritized risk. I defined objectives, established scope, decomposed the system, analyzed threats, identified candidate weaknesses, modeled attack and failure scenarios, and prioritized risk. I recorded assumptions and evidence gaps rather than presenting design ideas as verified controls.</w:t>
      </w:r>
    </w:p>
    <w:p>
      <w:pPr>
        <w:pStyle w:val="Heading1"/>
      </w:pPr>
      <w:r>
        <w:t>Priority risks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/>
        </w:trPr>
        <w:tc>
          <w:tcPr>
            <w:tcW w:type="dxa" w:w="2304"/>
            <w:shd w:fill="32304A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4176"/>
            <w:shd w:fill="32304A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Why it matters</w:t>
            </w:r>
          </w:p>
        </w:tc>
        <w:tc>
          <w:tcPr>
            <w:tcW w:type="dxa" w:w="3240"/>
            <w:shd w:fill="32304A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Primary response</w:t>
            </w:r>
          </w:p>
        </w:tc>
      </w:tr>
      <w:tr>
        <w:tc>
          <w:tcPr>
            <w:tcW w:type="dxa" w:w="2304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Sensitive-data disclosure</w:t>
            </w:r>
          </w:p>
        </w:tc>
        <w:tc>
          <w:tcPr>
            <w:tcW w:type="dxa" w:w="4176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Free-form tickets can contain personal, financial, credential, or proprietary information</w:t>
            </w:r>
          </w:p>
        </w:tc>
        <w:tc>
          <w:tcPr>
            <w:tcW w:type="dxa" w:w="3240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Minimize fields, inspect content, mask or block, and reinspect final JSON</w:t>
            </w:r>
          </w:p>
        </w:tc>
      </w:tr>
      <w:tr>
        <w:tc>
          <w:tcPr>
            <w:tcW w:type="dxa" w:w="2304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Misleading AI output</w:t>
            </w:r>
          </w:p>
        </w:tc>
        <w:tc>
          <w:tcPr>
            <w:tcW w:type="dxa" w:w="4176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A plausible response can still be wrong or manipulated</w:t>
            </w:r>
          </w:p>
        </w:tc>
        <w:tc>
          <w:tcPr>
            <w:tcW w:type="dxa" w:w="3240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Validate structure and content, restrict categories, and retain human review</w:t>
            </w:r>
          </w:p>
        </w:tc>
      </w:tr>
      <w:tr>
        <w:tc>
          <w:tcPr>
            <w:tcW w:type="dxa" w:w="2304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Provider dependency</w:t>
            </w:r>
          </w:p>
        </w:tc>
        <w:tc>
          <w:tcPr>
            <w:tcW w:type="dxa" w:w="4176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An external supplier can fail, change behavior, or expose data</w:t>
            </w:r>
          </w:p>
        </w:tc>
        <w:tc>
          <w:tcPr>
            <w:tcW w:type="dxa" w:w="3240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Minimize data, validate responses, use fallback, and require provider evidence</w:t>
            </w:r>
          </w:p>
        </w:tc>
      </w:tr>
      <w:tr>
        <w:tc>
          <w:tcPr>
            <w:tcW w:type="dxa" w:w="2304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Cross-tenant access</w:t>
            </w:r>
          </w:p>
        </w:tc>
        <w:tc>
          <w:tcPr>
            <w:tcW w:type="dxa" w:w="4176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A multi-tenant application can expose another customer's records if authorization is weak</w:t>
            </w:r>
          </w:p>
        </w:tc>
        <w:tc>
          <w:tcPr>
            <w:tcW w:type="dxa" w:w="3240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Require server-side tenant context, object authorization, and negative tests</w:t>
            </w:r>
          </w:p>
        </w:tc>
      </w:tr>
      <w:tr>
        <w:tc>
          <w:tcPr>
            <w:tcW w:type="dxa" w:w="2304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Privilege or change compromise</w:t>
            </w:r>
          </w:p>
        </w:tc>
        <w:tc>
          <w:tcPr>
            <w:tcW w:type="dxa" w:w="4176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A bad change can weaken several controls at once</w:t>
            </w:r>
          </w:p>
        </w:tc>
        <w:tc>
          <w:tcPr>
            <w:tcW w:type="dxa" w:w="3240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Use least privilege, reviewed changes, testing, monitoring, and rollback</w:t>
            </w:r>
          </w:p>
        </w:tc>
      </w:tr>
    </w:tbl>
    <w:p/>
    <w:p>
      <w:pPr>
        <w:pStyle w:val="Heading1"/>
      </w:pPr>
      <w:r>
        <w:t>What the portfolio verifies</w:t>
      </w:r>
    </w:p>
    <w:p>
      <w:pPr>
        <w:pStyle w:val="ListBullet"/>
        <w:spacing w:after="60"/>
      </w:pPr>
      <w:r>
        <w:t>The Python implementation can remove fields, detect selected patterns, mask approved identifiers, and suppress provider invocation.</w:t>
      </w:r>
    </w:p>
    <w:p>
      <w:pPr>
        <w:pStyle w:val="ListBullet"/>
        <w:spacing w:after="60"/>
      </w:pPr>
      <w:r>
        <w:t>The automated tests can verify fixed local scenarios, safe failure, and evidence association.</w:t>
      </w:r>
    </w:p>
    <w:p>
      <w:pPr>
        <w:pStyle w:val="ListBullet"/>
        <w:spacing w:after="60"/>
      </w:pPr>
      <w:r>
        <w:t>The AWS lab can verify selected Guardrail behavior using synthetic text without a foundation-model call.</w:t>
      </w:r>
    </w:p>
    <w:p>
      <w:pPr>
        <w:pStyle w:val="Heading1"/>
      </w:pPr>
      <w:r>
        <w:t>What remains unresolved</w:t>
      </w:r>
    </w:p>
    <w:p>
      <w:r>
        <w:t>The project does not verify production tenant isolation, real provider data practices, complete detector coverage, production IAM, operational monitoring, deletion, recovery, or sustainable human review. I preserved these as remaining risks because a functioning filter is one security layer, not a complete security program.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5D70"/>
        <w:sz w:val="17"/>
      </w:rPr>
      <w:t xml:space="preserve">Eniola Durojaiye  |  AI security case study  |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7152D6"/>
        <w:sz w:val="17"/>
      </w:rPr>
      <w:t>SECURELAUNCH AI  |  PORTFOLIO EVIDENCE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Aptos" w:hAnsi="Aptos"/>
      <w:color w:val="242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data lifecycle and risk analysis</dc:title>
  <dc:subject>SecureLaunch AI portfolio evidence</dc:subject>
  <dc:creator>Eniola Durojaiye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