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SecureLaunch AI Python Security Gateway</w:t>
      </w:r>
    </w:p>
    <w:p>
      <w:pPr>
        <w:pStyle w:val="Subtitle"/>
      </w:pPr>
      <w:r>
        <w:t>Control design, implementation, and technical behavior</w:t>
      </w:r>
    </w:p>
    <w:tbl>
      <w:tblPr>
        <w:tblW w:type="auto" w:w="0"/>
        <w:jc w:val="left"/>
        <w:tblLayout w:type="fixed"/>
        <w:tblLook w:firstColumn="1" w:firstRow="1" w:lastColumn="0" w:lastRow="0" w:noHBand="0" w:noVBand="1" w:val="04A0"/>
      </w:tblPr>
      <w:tblGrid>
        <w:gridCol w:w="2232"/>
        <w:gridCol w:w="7416"/>
      </w:tblGrid>
      <w:tr>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shd w:fill="EEE8FF"/>
          </w:tcPr>
          <w:p>
            <w:r>
              <w:rPr>
                <w:b/>
                <w:color w:val="24213D"/>
              </w:rPr>
              <w:t>Author</w:t>
            </w:r>
          </w:p>
        </w:tc>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tcPr>
          <w:p>
            <w:r>
              <w:t>Eniola Durojaiye</w:t>
            </w:r>
          </w:p>
        </w:tc>
      </w:tr>
      <w:tr>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shd w:fill="EEE8FF"/>
          </w:tcPr>
          <w:p>
            <w:r>
              <w:rPr>
                <w:b/>
                <w:color w:val="24213D"/>
              </w:rPr>
              <w:t>Analysis dates</w:t>
            </w:r>
          </w:p>
        </w:tc>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tcPr>
          <w:p>
            <w:r>
              <w:t>September 11, 2026</w:t>
            </w:r>
          </w:p>
        </w:tc>
      </w:tr>
      <w:tr>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shd w:fill="EEE8FF"/>
          </w:tcPr>
          <w:p>
            <w:r>
              <w:rPr>
                <w:b/>
                <w:color w:val="24213D"/>
              </w:rPr>
              <w:t>Reviewer edition</w:t>
            </w:r>
          </w:p>
        </w:tc>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tcPr>
          <w:p>
            <w:r>
              <w:t>September 16, 2026</w:t>
            </w:r>
          </w:p>
        </w:tc>
      </w:tr>
    </w:tbl>
    <w:p/>
    <w:p>
      <w:r>
        <w:rPr>
          <w:b/>
          <w:color w:val="7152D6"/>
        </w:rPr>
        <w:t xml:space="preserve">Evidence boundary  </w:t>
      </w:r>
      <w:r>
        <w:t>I created LindenArc as a realistic business scenario and used synthetic records so I could test security controls without using real customer information. The Python gateway, automated tests, risk analysis, Amazon Bedrock Guardrail configuration, and recorded AWS test results are real project work.</w:t>
      </w:r>
    </w:p>
    <w:p>
      <w:pPr>
        <w:pStyle w:val="Heading1"/>
      </w:pPr>
      <w:r>
        <w:t>Purpose and conclusion</w:t>
      </w:r>
    </w:p>
    <w:p>
      <w:r>
        <w:t>I built a pre-provider Python gateway that turns the security policy into executable decisions. The gateway constructs a limited payload only after inspection. If a blocking condition appears, it returns a decision without creating a provider payload, so the external AI route cannot run.</w:t>
      </w:r>
    </w:p>
    <w:p>
      <w:pPr>
        <w:pStyle w:val="Heading1"/>
      </w:pPr>
      <w:r>
        <w:t>Control sequence</w:t>
      </w:r>
    </w:p>
    <w:p>
      <w:pPr>
        <w:pStyle w:val="ListNumber"/>
        <w:spacing w:after="70"/>
      </w:pPr>
      <w:r>
        <w:t>Validate the structure of the synthetic support ticket.</w:t>
      </w:r>
    </w:p>
    <w:p>
      <w:pPr>
        <w:pStyle w:val="ListNumber"/>
        <w:spacing w:after="70"/>
      </w:pPr>
      <w:r>
        <w:t>Check the emergency kill switch.</w:t>
      </w:r>
    </w:p>
    <w:p>
      <w:pPr>
        <w:pStyle w:val="ListNumber"/>
        <w:spacing w:after="70"/>
      </w:pPr>
      <w:r>
        <w:t>Exclude tenant metadata, separate contact fields, account references, and attachments from the provider payload.</w:t>
      </w:r>
    </w:p>
    <w:p>
      <w:pPr>
        <w:pStyle w:val="ListNumber"/>
        <w:spacing w:after="70"/>
      </w:pPr>
      <w:r>
        <w:t>Enforce the ticket-size boundary and inspect normalized text.</w:t>
      </w:r>
    </w:p>
    <w:p>
      <w:pPr>
        <w:pStyle w:val="ListNumber"/>
        <w:spacing w:after="70"/>
      </w:pPr>
      <w:r>
        <w:t>Mask approved identifiers or block restricted information and prompt manipulation.</w:t>
      </w:r>
    </w:p>
    <w:p>
      <w:pPr>
        <w:pStyle w:val="ListNumber"/>
        <w:spacing w:after="70"/>
      </w:pPr>
      <w:r>
        <w:t>Construct a strict JSON payload containing only approved fields.</w:t>
      </w:r>
    </w:p>
    <w:p>
      <w:pPr>
        <w:pStyle w:val="ListNumber"/>
        <w:spacing w:after="70"/>
      </w:pPr>
      <w:r>
        <w:t>Inspect the exact serialized JSON again before the local provider adapter can run.</w:t>
      </w:r>
    </w:p>
    <w:p>
      <w:pPr>
        <w:pStyle w:val="ListNumber"/>
        <w:spacing w:after="70"/>
      </w:pPr>
      <w:r>
        <w:t>Validate the simulated response and retrieve a human-authored playbook for agent review.</w:t>
      </w:r>
    </w:p>
    <w:p>
      <w:pPr>
        <w:pStyle w:val="Heading1"/>
      </w:pPr>
      <w:r>
        <w:t>Policy decisions</w:t>
      </w:r>
    </w:p>
    <w:tbl>
      <w:tblPr>
        <w:tblW w:type="auto" w:w="0"/>
        <w:jc w:val="center"/>
        <w:tblLayout w:type="autofit"/>
        <w:tblLook w:firstColumn="1" w:firstRow="1" w:lastColumn="0" w:lastRow="0" w:noHBand="0" w:noVBand="1" w:val="04A0"/>
      </w:tblPr>
      <w:tblGrid>
        <w:gridCol w:w="3293"/>
        <w:gridCol w:w="3293"/>
        <w:gridCol w:w="3293"/>
      </w:tblGrid>
      <w:tr>
        <w:trPr>
          <w:tblHeader/>
        </w:trPr>
        <w:tc>
          <w:tcPr>
            <w:tcW w:type="dxa" w:w="1800"/>
            <w:shd w:fill="32304A"/>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tcPr>
          <w:p>
            <w:pPr>
              <w:jc w:val="left"/>
            </w:pPr>
            <w:r>
              <w:rPr>
                <w:b/>
                <w:color w:val="FFFFFF"/>
              </w:rPr>
              <w:t>Decision</w:t>
            </w:r>
          </w:p>
        </w:tc>
        <w:tc>
          <w:tcPr>
            <w:tcW w:type="dxa" w:w="3816"/>
            <w:shd w:fill="32304A"/>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tcPr>
          <w:p>
            <w:pPr>
              <w:jc w:val="left"/>
            </w:pPr>
            <w:r>
              <w:rPr>
                <w:b/>
                <w:color w:val="FFFFFF"/>
              </w:rPr>
              <w:t>Examples</w:t>
            </w:r>
          </w:p>
        </w:tc>
        <w:tc>
          <w:tcPr>
            <w:tcW w:type="dxa" w:w="4104"/>
            <w:shd w:fill="32304A"/>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tcPr>
          <w:p>
            <w:pPr>
              <w:jc w:val="left"/>
            </w:pPr>
            <w:r>
              <w:rPr>
                <w:b/>
                <w:color w:val="FFFFFF"/>
              </w:rPr>
              <w:t>Behavior</w:t>
            </w:r>
          </w:p>
        </w:tc>
      </w:tr>
      <w:tr>
        <w:tc>
          <w:tcPr>
            <w:tcW w:type="dxa" w:w="1800"/>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Allow</w:t>
            </w:r>
          </w:p>
        </w:tc>
        <w:tc>
          <w:tcPr>
            <w:tcW w:type="dxa" w:w="3816"/>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Clean support text</w:t>
            </w:r>
          </w:p>
        </w:tc>
        <w:tc>
          <w:tcPr>
            <w:tcW w:type="dxa" w:w="4104"/>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Approved fields continue to the local provider simulation</w:t>
            </w:r>
          </w:p>
        </w:tc>
      </w:tr>
      <w:tr>
        <w:tc>
          <w:tcPr>
            <w:tcW w:type="dxa" w:w="1800"/>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Mask</w:t>
            </w:r>
          </w:p>
        </w:tc>
        <w:tc>
          <w:tcPr>
            <w:tcW w:type="dxa" w:w="3816"/>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Email, phone, account reference</w:t>
            </w:r>
          </w:p>
        </w:tc>
        <w:tc>
          <w:tcPr>
            <w:tcW w:type="dxa" w:w="4104"/>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Replace the identifier and preserve the support problem</w:t>
            </w:r>
          </w:p>
        </w:tc>
      </w:tr>
      <w:tr>
        <w:tc>
          <w:tcPr>
            <w:tcW w:type="dxa" w:w="1800"/>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Block</w:t>
            </w:r>
          </w:p>
        </w:tc>
        <w:tc>
          <w:tcPr>
            <w:tcW w:type="dxa" w:w="3816"/>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SSN, bank details, payment card, credentials, prompt manipulation</w:t>
            </w:r>
          </w:p>
        </w:tc>
        <w:tc>
          <w:tcPr>
            <w:tcW w:type="dxa" w:w="4104"/>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Create no provider payload and keep the case in manual support</w:t>
            </w:r>
          </w:p>
        </w:tc>
      </w:tr>
      <w:tr>
        <w:tc>
          <w:tcPr>
            <w:tcW w:type="dxa" w:w="1800"/>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Manual fallback</w:t>
            </w:r>
          </w:p>
        </w:tc>
        <w:tc>
          <w:tcPr>
            <w:tcW w:type="dxa" w:w="3816"/>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Kill switch, timeout, provider error, invalid response, unknown category</w:t>
            </w:r>
          </w:p>
        </w:tc>
        <w:tc>
          <w:tcPr>
            <w:tcW w:type="dxa" w:w="4104"/>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Stop safely and return the case to a support agent</w:t>
            </w:r>
          </w:p>
        </w:tc>
      </w:tr>
    </w:tbl>
    <w:p/>
    <w:p>
      <w:pPr>
        <w:pStyle w:val="Heading1"/>
      </w:pPr>
      <w:r>
        <w:t>Provider suppression in the code</w:t>
      </w:r>
    </w:p>
    <w:p>
      <w:r>
        <w:t>The full gateway calls the provider adapter only after preflight produces an approved payload. This check is the control that prevents a blocked ticket from reaching the provider path.</w:t>
      </w:r>
    </w:p>
    <w:p>
      <w:pPr>
        <w:spacing w:after="0" w:line="240" w:lineRule="auto"/>
        <w:ind w:left="317"/>
      </w:pPr>
      <w:r>
        <w:rPr>
          <w:rFonts w:ascii="Consolas" w:hAnsi="Consolas"/>
          <w:color w:val="24213D"/>
          <w:sz w:val="17"/>
        </w:rPr>
        <w:t>preflight = prepare_provider_request(ticket, policy)</w:t>
      </w:r>
    </w:p>
    <w:p>
      <w:pPr>
        <w:spacing w:after="0" w:line="240" w:lineRule="auto"/>
        <w:ind w:left="317"/>
      </w:pPr>
      <w:r>
        <w:rPr>
          <w:rFonts w:ascii="Consolas" w:hAnsi="Consolas"/>
          <w:color w:val="24213D"/>
          <w:sz w:val="17"/>
        </w:rPr>
        <w:t>if preflight.provider_payload is None:</w:t>
      </w:r>
    </w:p>
    <w:p>
      <w:pPr>
        <w:spacing w:after="0" w:line="240" w:lineRule="auto"/>
        <w:ind w:left="317"/>
      </w:pPr>
      <w:r>
        <w:rPr>
          <w:rFonts w:ascii="Consolas" w:hAnsi="Consolas"/>
          <w:color w:val="24213D"/>
          <w:sz w:val="17"/>
        </w:rPr>
        <w:t xml:space="preserve">    return preflight</w:t>
      </w:r>
    </w:p>
    <w:p>
      <w:pPr>
        <w:spacing w:after="0" w:line="240" w:lineRule="auto"/>
        <w:ind w:left="317"/>
      </w:pPr>
      <w:r>
        <w:rPr>
          <w:rFonts w:ascii="Consolas" w:hAnsi="Consolas"/>
          <w:color w:val="24213D"/>
          <w:sz w:val="17"/>
        </w:rPr>
        <w:t xml:space="preserve"> </w:t>
      </w:r>
    </w:p>
    <w:p>
      <w:pPr>
        <w:spacing w:after="0" w:line="240" w:lineRule="auto"/>
        <w:ind w:left="317"/>
      </w:pPr>
      <w:r>
        <w:rPr>
          <w:rFonts w:ascii="Consolas" w:hAnsi="Consolas"/>
          <w:color w:val="24213D"/>
          <w:sz w:val="17"/>
        </w:rPr>
        <w:t>trace_steps = list(preflight.trace_steps)</w:t>
      </w:r>
    </w:p>
    <w:p>
      <w:pPr>
        <w:spacing w:after="0" w:line="240" w:lineRule="auto"/>
        <w:ind w:left="317"/>
      </w:pPr>
      <w:r>
        <w:rPr>
          <w:rFonts w:ascii="Consolas" w:hAnsi="Consolas"/>
          <w:color w:val="24213D"/>
          <w:sz w:val="17"/>
        </w:rPr>
        <w:t>raw_response = provider.invoke(preflight.provider_payload)</w:t>
      </w:r>
    </w:p>
    <w:p>
      <w:pPr>
        <w:pStyle w:val="Heading1"/>
      </w:pPr>
      <w:r>
        <w:t>Masking in the code</w:t>
      </w:r>
    </w:p>
    <w:p>
      <w:r>
        <w:t>The inspection layer stores the data type, action, and match position without copying the detected value into the finding record. It replaces only findings assigned the mask action.</w:t>
      </w:r>
    </w:p>
    <w:p>
      <w:pPr>
        <w:spacing w:after="0" w:line="240" w:lineRule="auto"/>
        <w:ind w:left="317"/>
      </w:pPr>
      <w:r>
        <w:rPr>
          <w:rFonts w:ascii="Consolas" w:hAnsi="Consolas"/>
          <w:color w:val="24213D"/>
          <w:sz w:val="17"/>
        </w:rPr>
        <w:t>maskable = [finding for finding in findings</w:t>
      </w:r>
    </w:p>
    <w:p>
      <w:pPr>
        <w:spacing w:after="0" w:line="240" w:lineRule="auto"/>
        <w:ind w:left="317"/>
      </w:pPr>
      <w:r>
        <w:rPr>
          <w:rFonts w:ascii="Consolas" w:hAnsi="Consolas"/>
          <w:color w:val="24213D"/>
          <w:sz w:val="17"/>
        </w:rPr>
        <w:t xml:space="preserve">            if finding.action == FindingAction.MASK]</w:t>
      </w:r>
    </w:p>
    <w:p>
      <w:pPr>
        <w:spacing w:after="0" w:line="240" w:lineRule="auto"/>
        <w:ind w:left="317"/>
      </w:pPr>
      <w:r>
        <w:rPr>
          <w:rFonts w:ascii="Consolas" w:hAnsi="Consolas"/>
          <w:color w:val="24213D"/>
          <w:sz w:val="17"/>
        </w:rPr>
        <w:t>for finding in reversed(maskable):</w:t>
      </w:r>
    </w:p>
    <w:p>
      <w:pPr>
        <w:spacing w:after="0" w:line="240" w:lineRule="auto"/>
        <w:ind w:left="317"/>
      </w:pPr>
      <w:r>
        <w:rPr>
          <w:rFonts w:ascii="Consolas" w:hAnsi="Consolas"/>
          <w:color w:val="24213D"/>
          <w:sz w:val="17"/>
        </w:rPr>
        <w:t xml:space="preserve">    replacement = f"[MASKED_{finding.data_type.upper()}]"</w:t>
      </w:r>
    </w:p>
    <w:p>
      <w:pPr>
        <w:spacing w:after="0" w:line="240" w:lineRule="auto"/>
        <w:ind w:left="317"/>
      </w:pPr>
      <w:r>
        <w:rPr>
          <w:rFonts w:ascii="Consolas" w:hAnsi="Consolas"/>
          <w:color w:val="24213D"/>
          <w:sz w:val="17"/>
        </w:rPr>
        <w:t xml:space="preserve">    protected = protected[:finding.start] + replacement + protected[finding.end:]</w:t>
      </w:r>
    </w:p>
    <w:p>
      <w:pPr>
        <w:pStyle w:val="Heading1"/>
      </w:pPr>
      <w:r>
        <w:t>Technical safeguards</w:t>
      </w:r>
    </w:p>
    <w:p>
      <w:pPr>
        <w:pStyle w:val="ListBullet"/>
        <w:spacing w:after="60"/>
      </w:pPr>
      <w:r>
        <w:t>Strict Pydantic models reject unexpected fields.</w:t>
      </w:r>
    </w:p>
    <w:p>
      <w:pPr>
        <w:pStyle w:val="ListBullet"/>
        <w:spacing w:after="60"/>
      </w:pPr>
      <w:r>
        <w:t>Unicode and whitespace normalization reduce simple detection bypasses.</w:t>
      </w:r>
    </w:p>
    <w:p>
      <w:pPr>
        <w:pStyle w:val="ListBullet"/>
        <w:spacing w:after="60"/>
      </w:pPr>
      <w:r>
        <w:t>A Luhn check helps distinguish payment-card candidates from arbitrary digit strings.</w:t>
      </w:r>
    </w:p>
    <w:p>
      <w:pPr>
        <w:pStyle w:val="ListBullet"/>
        <w:spacing w:after="60"/>
      </w:pPr>
      <w:r>
        <w:t>The final gate examines the exact serialized outbound request.</w:t>
      </w:r>
    </w:p>
    <w:p>
      <w:pPr>
        <w:pStyle w:val="ListBullet"/>
        <w:spacing w:after="60"/>
      </w:pPr>
      <w:r>
        <w:t>Response validation checks schema, category, size, markup, and sensitive content.</w:t>
      </w:r>
    </w:p>
    <w:p>
      <w:pPr>
        <w:pStyle w:val="ListBullet"/>
        <w:spacing w:after="60"/>
      </w:pPr>
      <w:r>
        <w:t>Evidence receipts omit detected values and record decisions, policy versions, traceability, and limitations.</w:t>
      </w:r>
    </w:p>
    <w:p>
      <w:pPr>
        <w:pStyle w:val="Heading1"/>
      </w:pPr>
      <w:r>
        <w:t>Demonstrated limits</w:t>
      </w:r>
    </w:p>
    <w:p>
      <w:r>
        <w:t>The provider in this local demonstration is an HTTPX MockTransport, so no real external AI service receives the ticket. The selected rules are deterministic and do not detect every possible format or manipulation. The application demonstrates a boundary-control pattern and tested behavior, not production readiness or universal detection accuracy.</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5D70"/>
        <w:sz w:val="17"/>
      </w:rPr>
      <w:t xml:space="preserve">Eniola Durojaiye  |  AI security case study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152D6"/>
        <w:sz w:val="17"/>
      </w:rPr>
      <w:t>SECURELAUNCH AI  |  PORTFOLIO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42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Display" w:hAnsi="Aptos Display"/>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python security gateway technical report</dc:title>
  <dc:subject>SecureLaunch AI portfolio evidence</dc:subject>
  <dc:creator>Eniola Durojaiye</dc:creator>
  <cp:keywords/>
  <dc:description>generated by python-docx</dc:description>
  <cp:lastModifiedBy/>
  <cp:revision>1</cp:revision>
  <dcterms:created xsi:type="dcterms:W3CDTF">2013-12-23T23:15:00Z</dcterms:created>
  <dcterms:modified xsi:type="dcterms:W3CDTF">2013-12-23T23:15:00Z</dcterms:modified>
  <cp:category/>
</cp:coreProperties>
</file>