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SecureLaunch AI Validation Evidence</w:t>
      </w:r>
    </w:p>
    <w:p>
      <w:pPr>
        <w:pStyle w:val="Subtitle"/>
      </w:pPr>
      <w:r>
        <w:t>Automated Python results and independent Amazon Bedrock Guardrail testing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Author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Eniola Durojaiye</w:t>
            </w:r>
          </w:p>
        </w:tc>
      </w:tr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Analysis dates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September 11-15, 2026</w:t>
            </w:r>
          </w:p>
        </w:tc>
      </w:tr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Reviewer edition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September 16, 2026</w:t>
            </w:r>
          </w:p>
        </w:tc>
      </w:tr>
    </w:tbl>
    <w:p/>
    <w:p>
      <w:r>
        <w:rPr>
          <w:b/>
          <w:color w:val="7152D6"/>
        </w:rPr>
        <w:t xml:space="preserve">Evidence boundary  </w:t>
      </w:r>
      <w:r>
        <w:t>I created LindenArc as a realistic business scenario and used synthetic records so I could test security controls without using real customer information. The Python gateway, automated tests, risk analysis, Amazon Bedrock Guardrail configuration, and recorded AWS test results are real project work.</w:t>
      </w:r>
    </w:p>
    <w:p>
      <w:pPr>
        <w:pStyle w:val="Heading1"/>
      </w:pPr>
      <w:r>
        <w:t>Executive result</w:t>
      </w:r>
    </w:p>
    <w:p>
      <w:r>
        <w:t>I validated the data-boundary concept in two separate environments. The local test suite verified the Python gateway. I then independently configured Amazon Bedrock Guardrails and tested managed sensitive-information and prompt-attack controls. The Streamlit demonstration does not call AWS, and the AWS lab did not invoke a foundation model.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</w:trPr>
        <w:tc>
          <w:tcPr>
            <w:tcW w:type="dxa" w:w="4320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5328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Observed result</w:t>
            </w:r>
          </w:p>
        </w:tc>
      </w:tr>
      <w:tr>
        <w:tc>
          <w:tcPr>
            <w:tcW w:type="dxa" w:w="432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Automated Python tests</w:t>
            </w:r>
          </w:p>
        </w:tc>
        <w:tc>
          <w:tcPr>
            <w:tcW w:type="dxa" w:w="532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43 passed</w:t>
            </w:r>
          </w:p>
        </w:tc>
      </w:tr>
      <w:tr>
        <w:tc>
          <w:tcPr>
            <w:tcW w:type="dxa" w:w="432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Local synthetic scenarios available in the interface</w:t>
            </w:r>
          </w:p>
        </w:tc>
        <w:tc>
          <w:tcPr>
            <w:tcW w:type="dxa" w:w="532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Selected AWS scenarios</w:t>
            </w:r>
          </w:p>
        </w:tc>
        <w:tc>
          <w:tcPr>
            <w:tcW w:type="dxa" w:w="532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9 of 9 matched the expected outcome</w:t>
            </w:r>
          </w:p>
        </w:tc>
      </w:tr>
      <w:tr>
        <w:tc>
          <w:tcPr>
            <w:tcW w:type="dxa" w:w="432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Configured AWS controls</w:t>
            </w:r>
          </w:p>
        </w:tc>
        <w:tc>
          <w:tcPr>
            <w:tcW w:type="dxa" w:w="532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12 built-in sensitive-data types plus 1 custom account-reference regex</w:t>
            </w:r>
          </w:p>
        </w:tc>
      </w:tr>
      <w:tr>
        <w:tc>
          <w:tcPr>
            <w:tcW w:type="dxa" w:w="432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Guardrail version</w:t>
            </w:r>
          </w:p>
        </w:tc>
        <w:tc>
          <w:tcPr>
            <w:tcW w:type="dxa" w:w="532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Working draft tested, then Version 1 saved and smoke-tested</w:t>
            </w:r>
          </w:p>
        </w:tc>
      </w:tr>
      <w:tr>
        <w:tc>
          <w:tcPr>
            <w:tcW w:type="dxa" w:w="432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Direct API reproduction</w:t>
            </w:r>
          </w:p>
        </w:tc>
        <w:tc>
          <w:tcPr>
            <w:tcW w:type="dxa" w:w="532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ApplyGuardrail Version 1 masked phone and custom account reference</w:t>
            </w:r>
          </w:p>
        </w:tc>
      </w:tr>
      <w:tr>
        <w:tc>
          <w:tcPr>
            <w:tcW w:type="dxa" w:w="432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Foundation-model calls in AWS lab</w:t>
            </w:r>
          </w:p>
        </w:tc>
        <w:tc>
          <w:tcPr>
            <w:tcW w:type="dxa" w:w="532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Real customer records</w:t>
            </w:r>
          </w:p>
        </w:tc>
        <w:tc>
          <w:tcPr>
            <w:tcW w:type="dxa" w:w="532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AWS decision logic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440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320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888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Allow</w:t>
            </w:r>
          </w:p>
        </w:tc>
        <w:tc>
          <w:tcPr>
            <w:tcW w:type="dxa" w:w="432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Preserve legitimate support work when configured risks are absent</w:t>
            </w:r>
          </w:p>
        </w:tc>
        <w:tc>
          <w:tcPr>
            <w:tcW w:type="dxa" w:w="388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Clean upload problem; harmless quoted instruction</w:t>
            </w:r>
          </w:p>
        </w:tc>
      </w:tr>
      <w:tr>
        <w:tc>
          <w:tcPr>
            <w:tcW w:type="dxa" w:w="144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Mask</w:t>
            </w:r>
          </w:p>
        </w:tc>
        <w:tc>
          <w:tcPr>
            <w:tcW w:type="dxa" w:w="432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Remove an unnecessary identifier while retaining useful context</w:t>
            </w:r>
          </w:p>
        </w:tc>
        <w:tc>
          <w:tcPr>
            <w:tcW w:type="dxa" w:w="388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Email, phone number, LindenArc account reference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Block</w:t>
            </w:r>
          </w:p>
        </w:tc>
        <w:tc>
          <w:tcPr>
            <w:tcW w:type="dxa" w:w="432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Stop the request when restricted data or direct manipulation appears</w:t>
            </w:r>
          </w:p>
        </w:tc>
        <w:tc>
          <w:tcPr>
            <w:tcW w:type="dxa" w:w="388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SSN, payment-card data, AWS credentials, prompt attack</w:t>
            </w:r>
          </w:p>
        </w:tc>
      </w:tr>
    </w:tbl>
    <w:p/>
    <w:p>
      <w:pPr>
        <w:pStyle w:val="Heading1"/>
      </w:pPr>
      <w:r>
        <w:t>Nine selected AWS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792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968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Security question</w:t>
            </w:r>
          </w:p>
        </w:tc>
        <w:tc>
          <w:tcPr>
            <w:tcW w:type="dxa" w:w="3888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Observed result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T01</w:t>
            </w:r>
          </w:p>
        </w:tc>
        <w:tc>
          <w:tcPr>
            <w:tcW w:type="dxa" w:w="496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Can a clean support ticket continue?</w:t>
            </w:r>
          </w:p>
        </w:tc>
        <w:tc>
          <w:tcPr>
            <w:tcW w:type="dxa" w:w="388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Allowed; no Guardrail intervention</w:t>
            </w:r>
          </w:p>
        </w:tc>
      </w:tr>
      <w:tr>
        <w:tc>
          <w:tcPr>
            <w:tcW w:type="dxa" w:w="79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T02</w:t>
            </w:r>
          </w:p>
        </w:tc>
        <w:tc>
          <w:tcPr>
            <w:tcW w:type="dxa" w:w="496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Can an email be removed without discarding the ticket?</w:t>
            </w:r>
          </w:p>
        </w:tc>
        <w:tc>
          <w:tcPr>
            <w:tcW w:type="dxa" w:w="388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Email masked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T03</w:t>
            </w:r>
          </w:p>
        </w:tc>
        <w:tc>
          <w:tcPr>
            <w:tcW w:type="dxa" w:w="496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Can managed and custom rules work together?</w:t>
            </w:r>
          </w:p>
        </w:tc>
        <w:tc>
          <w:tcPr>
            <w:tcW w:type="dxa" w:w="388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Phone and account reference masked</w:t>
            </w:r>
          </w:p>
        </w:tc>
      </w:tr>
      <w:tr>
        <w:tc>
          <w:tcPr>
            <w:tcW w:type="dxa" w:w="79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T04</w:t>
            </w:r>
          </w:p>
        </w:tc>
        <w:tc>
          <w:tcPr>
            <w:tcW w:type="dxa" w:w="496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Does restricted identity data stop processing?</w:t>
            </w:r>
          </w:p>
        </w:tc>
        <w:tc>
          <w:tcPr>
            <w:tcW w:type="dxa" w:w="388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SSN blocked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T05</w:t>
            </w:r>
          </w:p>
        </w:tc>
        <w:tc>
          <w:tcPr>
            <w:tcW w:type="dxa" w:w="496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Does payment-card data stop processing?</w:t>
            </w:r>
          </w:p>
        </w:tc>
        <w:tc>
          <w:tcPr>
            <w:tcW w:type="dxa" w:w="388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Card number, expiry, and CVV blocked</w:t>
            </w:r>
          </w:p>
        </w:tc>
      </w:tr>
      <w:tr>
        <w:tc>
          <w:tcPr>
            <w:tcW w:type="dxa" w:w="79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T06</w:t>
            </w:r>
          </w:p>
        </w:tc>
        <w:tc>
          <w:tcPr>
            <w:tcW w:type="dxa" w:w="496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 exposed cloud credentials stop processing?</w:t>
            </w:r>
          </w:p>
        </w:tc>
        <w:tc>
          <w:tcPr>
            <w:tcW w:type="dxa" w:w="388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Access key and secret key blocked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T07</w:t>
            </w:r>
          </w:p>
        </w:tc>
        <w:tc>
          <w:tcPr>
            <w:tcW w:type="dxa" w:w="496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Does direct instruction manipulation stop processing?</w:t>
            </w:r>
          </w:p>
        </w:tc>
        <w:tc>
          <w:tcPr>
            <w:tcW w:type="dxa" w:w="388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Prompt attack blocked with High confidence</w:t>
            </w:r>
          </w:p>
        </w:tc>
      </w:tr>
      <w:tr>
        <w:tc>
          <w:tcPr>
            <w:tcW w:type="dxa" w:w="79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T08</w:t>
            </w:r>
          </w:p>
        </w:tc>
        <w:tc>
          <w:tcPr>
            <w:tcW w:type="dxa" w:w="496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Can harmless quoted text remain usable?</w:t>
            </w:r>
          </w:p>
        </w:tc>
        <w:tc>
          <w:tcPr>
            <w:tcW w:type="dxa" w:w="3888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Allowed; no prompt attack detected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T09</w:t>
            </w:r>
          </w:p>
        </w:tc>
        <w:tc>
          <w:tcPr>
            <w:tcW w:type="dxa" w:w="496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Is simulated AI output inspected?</w:t>
            </w:r>
          </w:p>
        </w:tc>
        <w:tc>
          <w:tcPr>
            <w:tcW w:type="dxa" w:w="3888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Email in output masked</w:t>
            </w:r>
          </w:p>
        </w:tc>
      </w:tr>
    </w:tbl>
    <w:p/>
    <w:p>
      <w:pPr>
        <w:pStyle w:val="Heading1"/>
      </w:pPr>
      <w:r>
        <w:t>Custom account-reference rule</w:t>
      </w:r>
    </w:p>
    <w:p>
      <w:r>
        <w:t>I configured the pattern ACCT-(SYNTH-)?[0-9]{4,12} to recognize the fictional organization's account format. The rule requires the ACCT- prefix, permits the optional SYNTH- label used in the portfolio, and accepts 4 to 12 digits. The rule demonstrates why an organization may need controls beyond built-in PII detectors.</w:t>
      </w:r>
    </w:p>
    <w:p>
      <w:pPr>
        <w:pStyle w:val="Heading1"/>
      </w:pPr>
      <w:r>
        <w:t>What this evidence supports</w:t>
      </w:r>
    </w:p>
    <w:p>
      <w:pPr>
        <w:pStyle w:val="ListBullet"/>
        <w:spacing w:after="60"/>
      </w:pPr>
      <w:r>
        <w:t>Selected identifiers can be removed while preserving the support problem.</w:t>
      </w:r>
    </w:p>
    <w:p>
      <w:pPr>
        <w:pStyle w:val="ListBullet"/>
        <w:spacing w:after="60"/>
      </w:pPr>
      <w:r>
        <w:t>Selected restricted identity, financial, credential, and manipulation cases can stop the request.</w:t>
      </w:r>
    </w:p>
    <w:p>
      <w:pPr>
        <w:pStyle w:val="ListBullet"/>
        <w:spacing w:after="60"/>
      </w:pPr>
      <w:r>
        <w:t>A custom regex can extend managed detection to an organization-specific format.</w:t>
      </w:r>
    </w:p>
    <w:p>
      <w:pPr>
        <w:pStyle w:val="ListBullet"/>
        <w:spacing w:after="60"/>
      </w:pPr>
      <w:r>
        <w:t>A fixed Guardrail version and direct API call improve reproducibility beyond console-only testing.</w:t>
      </w:r>
    </w:p>
    <w:p>
      <w:pPr>
        <w:pStyle w:val="Heading1"/>
      </w:pPr>
      <w:r>
        <w:t>Evidence limitations</w:t>
      </w:r>
    </w:p>
    <w:p>
      <w:r>
        <w:t>These results describe a bounded synthetic sample. They do not measure production false-positive or false-negative rates, test every possible data format or prompt attack, validate a real external model, verify the external provider, or establish legal compliance. The AWS evidence strengthens the control case without replacing production security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5D70"/>
        <w:sz w:val="17"/>
      </w:rPr>
      <w:t xml:space="preserve">Eniola Durojaiye  |  AI security case study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152D6"/>
        <w:sz w:val="17"/>
      </w:rPr>
      <w:t>SECURELAUNCH AI  |  PORTFOLIO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2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validation evidence report</dc:title>
  <dc:subject>SecureLaunch AI portfolio evidence</dc:subject>
  <dc:creator>Eniola Durojaiye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