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SecureLaunch AI Risk Treatment and Lessons</w:t>
      </w:r>
    </w:p>
    <w:p>
      <w:pPr>
        <w:pStyle w:val="Subtitle"/>
      </w:pPr>
      <w:r>
        <w:t>Security decisions, remaining risks, and what the evidence demonstrates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Author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Eniola Durojaiye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Analysis dates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9-16, 2026</w:t>
            </w:r>
          </w:p>
        </w:tc>
      </w:tr>
      <w:tr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EE8FF"/>
          </w:tcPr>
          <w:p>
            <w:r>
              <w:rPr>
                <w:b/>
                <w:color w:val="24213D"/>
              </w:rPr>
              <w:t>Reviewer edition</w:t>
            </w:r>
          </w:p>
        </w:tc>
        <w:tc>
          <w:tcPr>
            <w:tcW w:type="dxa" w:w="493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r>
              <w:t>September 16, 2026</w:t>
            </w:r>
          </w:p>
        </w:tc>
      </w:tr>
    </w:tbl>
    <w:p/>
    <w:p>
      <w:r>
        <w:rPr>
          <w:b/>
          <w:color w:val="7152D6"/>
        </w:rPr>
        <w:t xml:space="preserve">Evidence boundary  </w:t>
      </w:r>
      <w:r>
        <w:t>I created LindenArc as a realistic business scenario and used synthetic records so I could test security controls without using real customer information. The Python gateway, automated tests, risk analysis, Amazon Bedrock Guardrail configuration, and recorded AWS test results are real project work.</w:t>
      </w:r>
    </w:p>
    <w:p>
      <w:pPr>
        <w:pStyle w:val="Heading1"/>
      </w:pPr>
      <w:r>
        <w:t>Purpose and conclusion</w:t>
      </w:r>
    </w:p>
    <w:p>
      <w:r>
        <w:t>This project taught me to treat AI adoption as a change to the organization's data flow, trust boundaries, suppliers, and operating process. A passing filter test answers an important question, but it does not answer every security question. I used the evidence to separate controls I implemented and tested from risks that still require other safeguards.</w:t>
      </w:r>
    </w:p>
    <w:p>
      <w:pPr>
        <w:pStyle w:val="Heading1"/>
      </w:pPr>
      <w:r>
        <w:t>Decisions I made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2592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Risk I identified</w:t>
            </w:r>
          </w:p>
        </w:tc>
        <w:tc>
          <w:tcPr>
            <w:tcW w:type="dxa" w:w="4176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My response</w:t>
            </w:r>
          </w:p>
        </w:tc>
        <w:tc>
          <w:tcPr>
            <w:tcW w:type="dxa" w:w="2880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What remains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Tickets contain more data than an AI summary needs</w:t>
            </w:r>
          </w:p>
        </w:tc>
        <w:tc>
          <w:tcPr>
            <w:tcW w:type="dxa" w:w="41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Allow-list fields, remove metadata and attachments, mask selected identifiers, block restricted content, and inspect final JSON</w:t>
            </w:r>
          </w:p>
        </w:tc>
        <w:tc>
          <w:tcPr>
            <w:tcW w:type="dxa" w:w="288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Unknown formats and new prompt attacks can evade selected detectors</w:t>
            </w:r>
          </w:p>
        </w:tc>
      </w:tr>
      <w:tr>
        <w:tc>
          <w:tcPr>
            <w:tcW w:type="dxa" w:w="25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plausible AI response can still be wrong</w:t>
            </w:r>
          </w:p>
        </w:tc>
        <w:tc>
          <w:tcPr>
            <w:tcW w:type="dxa" w:w="41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Validate the response, restrict categories, retrieve human-authored playbooks, and retain agent review</w:t>
            </w:r>
          </w:p>
        </w:tc>
        <w:tc>
          <w:tcPr>
            <w:tcW w:type="dxa" w:w="288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Schema validation does not establish factual accuracy or effective human oversight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provider can fail or return unsafe output</w:t>
            </w:r>
          </w:p>
        </w:tc>
        <w:tc>
          <w:tcPr>
            <w:tcW w:type="dxa" w:w="417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 timeout handling, response rejection, manual fallback, and a kill switch</w:t>
            </w:r>
          </w:p>
        </w:tc>
        <w:tc>
          <w:tcPr>
            <w:tcW w:type="dxa" w:w="2880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Local simulations do not prove real recovery times or manual support capacity</w:t>
            </w:r>
          </w:p>
        </w:tc>
      </w:tr>
      <w:tr>
        <w:tc>
          <w:tcPr>
            <w:tcW w:type="dxa" w:w="259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data filter cannot secure the whole system</w:t>
            </w:r>
          </w:p>
        </w:tc>
        <w:tc>
          <w:tcPr>
            <w:tcW w:type="dxa" w:w="417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Record tenant, supplier, access, lifecycle, and operational risks separately</w:t>
            </w:r>
          </w:p>
        </w:tc>
        <w:tc>
          <w:tcPr>
            <w:tcW w:type="dxa" w:w="2880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Production tenant isolation, supplier terms, permissions, deletion, and monitoring require separate evidence</w:t>
            </w:r>
          </w:p>
        </w:tc>
      </w:tr>
    </w:tbl>
    <w:p/>
    <w:p>
      <w:pPr>
        <w:pStyle w:val="Heading1"/>
      </w:pPr>
      <w:r>
        <w:t>Framework and law connections</w:t>
      </w:r>
    </w:p>
    <w:p>
      <w:r>
        <w:t>I used selected framework and legal references to organize the security reasoning. These mappings show relevance; they are not a certification or a legal compliance determination.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3816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5832"/>
            <w:shd w:fill="32304A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Project connection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NIST CSF 2.0 ID.AM and ID.RA</w:t>
            </w:r>
          </w:p>
        </w:tc>
        <w:tc>
          <w:tcPr>
            <w:tcW w:type="dxa" w:w="583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Inventory data and routes, identify and prioritize risk, and connect treatment to evidence</w:t>
            </w:r>
          </w:p>
        </w:tc>
      </w:tr>
      <w:tr>
        <w:tc>
          <w:tcPr>
            <w:tcW w:type="dxa" w:w="381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NIST CSF 2.0 PR.DS</w:t>
            </w:r>
          </w:p>
        </w:tc>
        <w:tc>
          <w:tcPr>
            <w:tcW w:type="dxa" w:w="583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Minimize, inspect, mask, block, and protect evidence within the tested scope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NIST CSF 2.0 GV.SC</w:t>
            </w:r>
          </w:p>
        </w:tc>
        <w:tc>
          <w:tcPr>
            <w:tcW w:type="dxa" w:w="583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Document supplier requirements and unresolved provider evidence</w:t>
            </w:r>
          </w:p>
        </w:tc>
      </w:tr>
      <w:tr>
        <w:tc>
          <w:tcPr>
            <w:tcW w:type="dxa" w:w="381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NIST AI RMF Govern, Map, Measure, Manage</w:t>
            </w:r>
          </w:p>
        </w:tc>
        <w:tc>
          <w:tcPr>
            <w:tcW w:type="dxa" w:w="583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Define accountability, understand the use case, test selected controls, and choose risk responses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GDPR Articles 5(1)(c), 25, 28, and 32 where applicable</w:t>
            </w:r>
          </w:p>
        </w:tc>
        <w:tc>
          <w:tcPr>
            <w:tcW w:type="dxa" w:w="5832"/>
            <w:shd w:fill="FFFFFF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Consider minimization, protection by design, processor obligations, and appropriate security</w:t>
            </w:r>
          </w:p>
        </w:tc>
      </w:tr>
      <w:tr>
        <w:tc>
          <w:tcPr>
            <w:tcW w:type="dxa" w:w="3816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FTC Safeguards Rule for covered institutions</w:t>
            </w:r>
          </w:p>
        </w:tc>
        <w:tc>
          <w:tcPr>
            <w:tcW w:type="dxa" w:w="5832"/>
            <w:shd w:fill="F7F5FB"/>
            <w:tcBorders>
              <w:top w:val="single" w:sz="6" w:color="D9D5E2"/>
              <w:left w:val="single" w:sz="6" w:color="D9D5E2"/>
              <w:bottom w:val="single" w:sz="6" w:color="D9D5E2"/>
              <w:right w:val="single" w:sz="6" w:color="D9D5E2"/>
              <w:insideH w:val="single" w:sz="6" w:color="D9D5E2"/>
              <w:insideV w:val="single" w:sz="6" w:color="D9D5E2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Consider risk assessment, safeguards, service-provider oversight, and testing</w:t>
            </w:r>
          </w:p>
        </w:tc>
      </w:tr>
    </w:tbl>
    <w:p/>
    <w:p>
      <w:pPr>
        <w:pStyle w:val="Heading1"/>
      </w:pPr>
      <w:r>
        <w:t>What I learned</w:t>
      </w:r>
    </w:p>
    <w:p>
      <w:pPr>
        <w:pStyle w:val="ListBullet"/>
        <w:spacing w:after="60"/>
      </w:pPr>
      <w:r>
        <w:t>Security analysis should begin before an external AI request exists, because the safest sensitive value is the one that never leaves the organization.</w:t>
      </w:r>
    </w:p>
    <w:p>
      <w:pPr>
        <w:pStyle w:val="ListBullet"/>
        <w:spacing w:after="60"/>
      </w:pPr>
      <w:r>
        <w:t>Masking is useful only when the business context remains usable and the identifier is unnecessary for the stated purpose.</w:t>
      </w:r>
    </w:p>
    <w:p>
      <w:pPr>
        <w:pStyle w:val="ListBullet"/>
        <w:spacing w:after="60"/>
      </w:pPr>
      <w:r>
        <w:t>Blocking needs a safe operational destination. In this design, the original ticket remains available to a support agent.</w:t>
      </w:r>
    </w:p>
    <w:p>
      <w:pPr>
        <w:pStyle w:val="ListBullet"/>
        <w:spacing w:after="60"/>
      </w:pPr>
      <w:r>
        <w:t>Input controls are incomplete without final-payload inspection and return-path validation.</w:t>
      </w:r>
    </w:p>
    <w:p>
      <w:pPr>
        <w:pStyle w:val="ListBullet"/>
        <w:spacing w:after="60"/>
      </w:pPr>
      <w:r>
        <w:t>Managed cloud controls can strengthen evidence, but they do not replace application controls, supplier review, or production testing.</w:t>
      </w:r>
    </w:p>
    <w:p>
      <w:pPr>
        <w:pStyle w:val="ListBullet"/>
        <w:spacing w:after="60"/>
      </w:pPr>
      <w:r>
        <w:t>Test results must be reported with limits so decision-makers do not mistake a bounded demonstration for complete assurance.</w:t>
      </w:r>
    </w:p>
    <w:p>
      <w:pPr>
        <w:pStyle w:val="Heading1"/>
      </w:pPr>
      <w:r>
        <w:t>My contribution</w:t>
      </w:r>
    </w:p>
    <w:p>
      <w:r>
        <w:t>I developed the Python security gateway and automated tests, completed the risk and data analysis, and independently configured and tested Amazon Bedrock Guardrails. I used AI-assisted development for the visual implementation of the reviewer-facing Streamlit interface. I defined the interface content, visual direction, and acceptance criteria so it would communicate my technical work clearly.</w:t>
      </w:r>
    </w:p>
    <w:p>
      <w:pPr>
        <w:pStyle w:val="Heading1"/>
      </w:pPr>
      <w:r>
        <w:t>Next evidence I would request</w:t>
      </w:r>
    </w:p>
    <w:p>
      <w:pPr>
        <w:pStyle w:val="ListBullet"/>
        <w:spacing w:after="60"/>
      </w:pPr>
      <w:r>
        <w:t>Tenant-scoped authorization and cross-tenant negative tests.</w:t>
      </w:r>
    </w:p>
    <w:p>
      <w:pPr>
        <w:pStyle w:val="ListBullet"/>
        <w:spacing w:after="60"/>
      </w:pPr>
      <w:r>
        <w:t>Provider data-use, retention, deletion, subprocessor, incident, and change evidence.</w:t>
      </w:r>
    </w:p>
    <w:p>
      <w:pPr>
        <w:pStyle w:val="ListBullet"/>
        <w:spacing w:after="60"/>
      </w:pPr>
      <w:r>
        <w:t>Production least-privilege access, monitoring, and rollback evidence.</w:t>
      </w:r>
    </w:p>
    <w:p>
      <w:pPr>
        <w:pStyle w:val="ListBullet"/>
        <w:spacing w:after="60"/>
      </w:pPr>
      <w:r>
        <w:t>Detection evaluation across more formats, adversarial cases, and false-positive examples.</w:t>
      </w:r>
    </w:p>
    <w:p>
      <w:pPr>
        <w:pStyle w:val="ListBullet"/>
        <w:spacing w:after="60"/>
      </w:pPr>
      <w:r>
        <w:t>Human-review quality and workload evidence from a controlled pilot.</w:t>
      </w:r>
    </w:p>
    <w:p>
      <w:pPr>
        <w:pStyle w:val="ListBullet"/>
        <w:spacing w:after="60"/>
      </w:pPr>
      <w:r>
        <w:t>Deletion, backup-aging, restore, and evidence-integrity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5D70"/>
        <w:sz w:val="17"/>
      </w:rPr>
      <w:t xml:space="preserve">Eniola Durojaiye  |  AI security case study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152D6"/>
        <w:sz w:val="17"/>
      </w:rPr>
      <w:t>SECURELAUNCH AI  |  PORTFOLIO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2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risk treatment and project lessons</dc:title>
  <dc:subject>SecureLaunch AI portfolio evidence</dc:subject>
  <dc:creator>Eniola Durojaiye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