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Personalized Recommendation &amp; Predictive Impact Modeling Engine</w:t>
      </w:r>
    </w:p>
    <w:p>
      <w:pPr>
        <w:jc w:val="center"/>
      </w:pPr>
      <w:r>
        <w:rPr>
          <w:i/>
        </w:rPr>
        <w:t>Current Architecture &amp; How the Component Works</w:t>
      </w:r>
    </w:p>
    <w:p>
      <w:pPr>
        <w:jc w:val="center"/>
      </w:pPr>
      <w:r>
        <w:rPr>
          <w:i/>
        </w:rPr>
        <w:t>Component 3</w:t>
      </w:r>
    </w:p>
    <w:p>
      <w:pPr>
        <w:pStyle w:val="Heading1"/>
      </w:pPr>
      <w:r>
        <w:t>Purpose of the Component</w:t>
      </w:r>
    </w:p>
    <w:p>
      <w:r>
        <w:t>A Sri Lankan personal-tax decision-support system. Its purpose is to take a taxpayer's financial profile, generate candidate tax-saving strategies, rank and explain them, and simulate their long-run financial impact so a taxpayer can make an evidence-grounded adoption decision.</w:t>
      </w:r>
    </w:p>
    <w:p>
      <w:r>
        <w:t>The key boundary is the same as elsewhere in this system: AI ranks candidate strategies, estimates adoption likelihood, retrieves supporting text, and explains scores — but it does not calculate tax. The deterministic tax rules engine is the only component that performs tax arithmetic, and it is reused unchanged by every other layer described below.</w:t>
      </w:r>
    </w:p>
    <w:p>
      <w:pPr>
        <w:pStyle w:val="Heading1"/>
      </w:pPr>
      <w:r>
        <w:t>Core Architectural Idea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Main responsibility</w:t>
            </w:r>
          </w:p>
        </w:tc>
        <w:tc>
          <w:tcPr>
            <w:tcW w:type="dxa" w:w="2880"/>
          </w:tcPr>
          <w:p>
            <w:r>
              <w:rPr>
                <w:b/>
              </w:rPr>
              <w:t>Current technology</w:t>
            </w:r>
          </w:p>
        </w:tc>
      </w:tr>
      <w:tr>
        <w:tc>
          <w:tcPr>
            <w:tcW w:type="dxa" w:w="2880"/>
          </w:tcPr>
          <w:p>
            <w:r>
              <w:t>Financial Profile Store</w:t>
            </w:r>
          </w:p>
        </w:tc>
        <w:tc>
          <w:tcPr>
            <w:tcW w:type="dxa" w:w="2880"/>
          </w:tcPr>
          <w:p>
            <w:r>
              <w:t>Holds taxpayer demographic and financial data, plus a synthetic monthly history.</w:t>
            </w:r>
          </w:p>
        </w:tc>
        <w:tc>
          <w:tcPr>
            <w:tcW w:type="dxa" w:w="2880"/>
          </w:tcPr>
          <w:p>
            <w:r>
              <w:t>PostgreSQL (SQLAlchemy ORM)</w:t>
            </w:r>
          </w:p>
        </w:tc>
      </w:tr>
      <w:tr>
        <w:tc>
          <w:tcPr>
            <w:tcW w:type="dxa" w:w="2880"/>
          </w:tcPr>
          <w:p>
            <w:r>
              <w:t>Tax Rules &amp; Strategy Catalogue</w:t>
            </w:r>
          </w:p>
        </w:tc>
        <w:tc>
          <w:tcPr>
            <w:tcW w:type="dxa" w:w="2880"/>
          </w:tcPr>
          <w:p>
            <w:r>
              <w:t>Encodes Sri Lankan 2024/25 tax rules and a catalogue of tax strategies with eligibility conditions.</w:t>
            </w:r>
          </w:p>
        </w:tc>
        <w:tc>
          <w:tcPr>
            <w:tcW w:type="dxa" w:w="2880"/>
          </w:tcPr>
          <w:p>
            <w:r>
              <w:t>YAML rule files + pure Python rule engine</w:t>
            </w:r>
          </w:p>
        </w:tc>
      </w:tr>
      <w:tr>
        <w:tc>
          <w:tcPr>
            <w:tcW w:type="dxa" w:w="2880"/>
          </w:tcPr>
          <w:p>
            <w:r>
              <w:t>Ranking Engine</w:t>
            </w:r>
          </w:p>
        </w:tc>
        <w:tc>
          <w:tcPr>
            <w:tcW w:type="dxa" w:w="2880"/>
          </w:tcPr>
          <w:p>
            <w:r>
              <w:t>Learning-to-rank of eligible strategies for a given profile.</w:t>
            </w:r>
          </w:p>
        </w:tc>
        <w:tc>
          <w:tcPr>
            <w:tcW w:type="dxa" w:w="2880"/>
          </w:tcPr>
          <w:p>
            <w:r>
              <w:t>LightGBM (LambdaMART)</w:t>
            </w:r>
          </w:p>
        </w:tc>
      </w:tr>
      <w:tr>
        <w:tc>
          <w:tcPr>
            <w:tcW w:type="dxa" w:w="2880"/>
          </w:tcPr>
          <w:p>
            <w:r>
              <w:t>Adoption-Likelihood Model</w:t>
            </w:r>
          </w:p>
        </w:tc>
        <w:tc>
          <w:tcPr>
            <w:tcW w:type="dxa" w:w="2880"/>
          </w:tcPr>
          <w:p>
            <w:r>
              <w:t>Estimates the probability that a taxpayer adopts a recommended strategy.</w:t>
            </w:r>
          </w:p>
        </w:tc>
        <w:tc>
          <w:tcPr>
            <w:tcW w:type="dxa" w:w="2880"/>
          </w:tcPr>
          <w:p>
            <w:r>
              <w:t>Gradient-boosted classifier (scikit-learn-compatible, `predict_proba`)</w:t>
            </w:r>
          </w:p>
        </w:tc>
      </w:tr>
      <w:tr>
        <w:tc>
          <w:tcPr>
            <w:tcW w:type="dxa" w:w="2880"/>
          </w:tcPr>
          <w:p>
            <w:r>
              <w:t>Retrieval (RAG prototype)</w:t>
            </w:r>
          </w:p>
        </w:tc>
        <w:tc>
          <w:tcPr>
            <w:tcW w:type="dxa" w:w="2880"/>
          </w:tcPr>
          <w:p>
            <w:r>
              <w:t>Retrieves and ranks strategies by textual similarity to the profile.</w:t>
            </w:r>
          </w:p>
        </w:tc>
        <w:tc>
          <w:tcPr>
            <w:tcW w:type="dxa" w:w="2880"/>
          </w:tcPr>
          <w:p>
            <w:r>
              <w:t>TF-IDF vectorisation + cosine similarity</w:t>
            </w:r>
          </w:p>
        </w:tc>
      </w:tr>
      <w:tr>
        <w:tc>
          <w:tcPr>
            <w:tcW w:type="dxa" w:w="2880"/>
          </w:tcPr>
          <w:p>
            <w:r>
              <w:t>Hybrid Recommender</w:t>
            </w:r>
          </w:p>
        </w:tc>
        <w:tc>
          <w:tcPr>
            <w:tcW w:type="dxa" w:w="2880"/>
          </w:tcPr>
          <w:p>
            <w:r>
              <w:t>Blends the ranking score and the retrieval score into one recommendation.</w:t>
            </w:r>
          </w:p>
        </w:tc>
        <w:tc>
          <w:tcPr>
            <w:tcW w:type="dxa" w:w="2880"/>
          </w:tcPr>
          <w:p>
            <w:r>
              <w:t>Weighted linear combination</w:t>
            </w:r>
          </w:p>
        </w:tc>
      </w:tr>
      <w:tr>
        <w:tc>
          <w:tcPr>
            <w:tcW w:type="dxa" w:w="2880"/>
          </w:tcPr>
          <w:p>
            <w:r>
              <w:t>Predictive Impact Modeling Engine</w:t>
            </w:r>
          </w:p>
        </w:tc>
        <w:tc>
          <w:tcPr>
            <w:tcW w:type="dxa" w:w="2880"/>
          </w:tcPr>
          <w:p>
            <w:r>
              <w:t>Simulates multi-year financial trajectories under baseline vs. strategy scenarios.</w:t>
            </w:r>
          </w:p>
        </w:tc>
        <w:tc>
          <w:tcPr>
            <w:tcW w:type="dxa" w:w="2880"/>
          </w:tcPr>
          <w:p>
            <w:r>
              <w:t>Monte Carlo simulation (NumPy) over the deterministic tax rules engine</w:t>
            </w:r>
          </w:p>
        </w:tc>
      </w:tr>
      <w:tr>
        <w:tc>
          <w:tcPr>
            <w:tcW w:type="dxa" w:w="2880"/>
          </w:tcPr>
          <w:p>
            <w:r>
              <w:t>Explainability</w:t>
            </w:r>
          </w:p>
        </w:tc>
        <w:tc>
          <w:tcPr>
            <w:tcW w:type="dxa" w:w="2880"/>
          </w:tcPr>
          <w:p>
            <w:r>
              <w:t>Attributes the ranking score to input features.</w:t>
            </w:r>
          </w:p>
        </w:tc>
        <w:tc>
          <w:tcPr>
            <w:tcW w:type="dxa" w:w="2880"/>
          </w:tcPr>
          <w:p>
            <w:r>
              <w:t>SHAP</w:t>
            </w:r>
          </w:p>
        </w:tc>
      </w:tr>
      <w:tr>
        <w:tc>
          <w:tcPr>
            <w:tcW w:type="dxa" w:w="2880"/>
          </w:tcPr>
          <w:p>
            <w:r>
              <w:t>Decision Support Dashboard</w:t>
            </w:r>
          </w:p>
        </w:tc>
        <w:tc>
          <w:tcPr>
            <w:tcW w:type="dxa" w:w="2880"/>
          </w:tcPr>
          <w:p>
            <w:r>
              <w:t>Presents profiles, recommendations, adoption evidence, explanations, and simulations.</w:t>
            </w:r>
          </w:p>
        </w:tc>
        <w:tc>
          <w:tcPr>
            <w:tcW w:type="dxa" w:w="2880"/>
          </w:tcPr>
          <w:p>
            <w:r>
              <w:t>React 19 + TypeScript, Recharts</w:t>
            </w:r>
          </w:p>
        </w:tc>
      </w:tr>
    </w:tbl>
    <w:p/>
    <w:p>
      <w:pPr>
        <w:pStyle w:val="Heading1"/>
      </w:pPr>
      <w:r>
        <w:t>Where the Component Sits</w:t>
      </w:r>
    </w:p>
    <w:p>
      <w:r>
        <w:t>The frontend provides profile creation/edit, ranked-recommendation views, an adoption-evidence panel, a SHAP explanation panel, an impact-simulation page, a strategy-comparison page, and separate auditor/taxpayer login and portal screens. Requests pass through the gateway to the Personalized Recommendation FastAPI service.</w:t>
      </w:r>
    </w:p>
    <w:p>
      <w:pPr>
        <w:pStyle w:val="ListBullet"/>
      </w:pPr>
      <w:r>
        <w:t>Frontend: profile pages, recommendations, hybrid-recommendations, impact, compare, strategy-detail, user-login, user-portal.</w:t>
      </w:r>
    </w:p>
    <w:p>
      <w:pPr>
        <w:pStyle w:val="ListBullet"/>
      </w:pPr>
      <w:r>
        <w:t>Gateway: `/api/v1/recommendation/**` routes requests to the component; the gateway also polls the component's own `/health` endpoint as part of its readiness check.</w:t>
      </w:r>
    </w:p>
    <w:p>
      <w:pPr>
        <w:pStyle w:val="ListBullet"/>
      </w:pPr>
      <w:r>
        <w:t>Recommendation service: runs on port 8003 and exposes profile, strategy, recommendation, impact, RAG, and hybrid endpoints.</w:t>
      </w:r>
    </w:p>
    <w:p>
      <w:pPr>
        <w:pStyle w:val="ListBullet"/>
      </w:pPr>
      <w:r>
        <w:t>The package is split across three physical locations that are wired together at runtime: `backend/comp-personalized-recommendation/` (live API), `models/personalized-recommendation/` (offline rules, catalogue, ranking/adoption models, Monte Carlo engine, explainability), and `frontend/src/features/personalized-recommendation/` (dashboard UI).</w:t>
      </w:r>
    </w:p>
    <w:p>
      <w:r>
        <w:t>No outbound calls from this component to Components 1, 2, 4, or 5 were found in the code inspected; integration currently runs one-directional, from the gateway inward to this component's endpoints. This should be re-confirmed before being stated definitively, as not every file was exhaustively searched for outbound calls. [confidence: medium]</w:t>
      </w:r>
    </w:p>
    <w:p>
      <w:pPr>
        <w:pStyle w:val="Heading1"/>
      </w:pPr>
      <w:r>
        <w:t>The Data and Knowledge Layers</w:t>
      </w:r>
    </w:p>
    <w:p>
      <w:r>
        <w:t>The system deliberately separates raw taxpayer data, legal/numerical tax rules, and learned model artefacts. Each layer has a distinct job.</w:t>
      </w:r>
    </w:p>
    <w:p>
      <w:pPr>
        <w:pStyle w:val="ListBullet"/>
      </w:pPr>
      <w:r>
        <w:t>PostgreSQL — system of record for financial profiles, synthetic history snapshots, recommendations, recommendation items, feedback, behavioural answers, and the strategy catalogue.</w:t>
      </w:r>
    </w:p>
    <w:p>
      <w:pPr>
        <w:pStyle w:val="ListBullet"/>
      </w:pPr>
      <w:r>
        <w:t>YAML tax rules — numerical and legal truth for Sri Lankan 2024/25 income tax: bands, deductions, caps.</w:t>
      </w:r>
    </w:p>
    <w:p>
      <w:pPr>
        <w:pStyle w:val="ListBullet"/>
      </w:pPr>
      <w:r>
        <w:t>YAML strategy catalogue — the set of candidate tax strategies with their eligibility conditions, legal references, and required documentation.</w:t>
      </w:r>
    </w:p>
    <w:p>
      <w:pPr>
        <w:pStyle w:val="ListBullet"/>
      </w:pPr>
      <w:r>
        <w:t>Trained model artefacts — the LambdaMART ranking model and the adoption-likelihood classifier, loaded from serialised files at service start.</w:t>
      </w:r>
    </w:p>
    <w:p>
      <w:pPr>
        <w:pStyle w:val="Heading2"/>
      </w:pPr>
      <w:r>
        <w:t>Financial Profile</w:t>
      </w:r>
    </w:p>
    <w:p>
      <w:r>
        <w:t>`FinancialProfile` is the central entity. It captures demographic fields (full name, date of birth, gender, district, marital status, occupation, dependents), employment fields (employment type, employer sector, years employed, gross monthly income, annual bonus), balance-sheet fields (liquid savings, existing investments, total debt, EPF/ETF balances, vehicle and property value), protection and liability fields (health insurance, life insurance premium, home loan interest, donations), and planning preferences (risk tolerance, investment horizon, retirement age target). It also stores a JSON income-sources breakdown, the applicable tax year, and a JSON eligibility-overrides field allowing a flag to be manually pinned or cleared.</w:t>
      </w:r>
    </w:p>
    <w:p>
      <w:r>
        <w:t>Residency status, nationality, employment type, employer sector, annual bonus, vehicle value, property value, and retirement age target are a recent extension to this schema, added together with matching enumerations for residency status (resident, non-resident, dual), employment type (permanent, contract, part-time, freelance, unemployed), and employer sector (private, public, NGO, self-employed). The extension is applied consistently across the ORM model, the API schema, and the frontend profile form.</w:t>
      </w:r>
    </w:p>
    <w:p>
      <w:pPr>
        <w:pStyle w:val="Heading2"/>
      </w:pPr>
      <w:r>
        <w:t>Derived Features</w:t>
      </w:r>
    </w:p>
    <w:p>
      <w:r>
        <w:t>A `DerivedFeatures` object is computed on demand from a profile by combining its raw fields with the tax rules engine. It includes annual taxable income, allowable deductions, taxable income after deductions, baseline tax liability, effective tax rate, monthly disposable income, savings rate, debt-to-income ratio, liquidity ratio, and a set of boolean eligibility flags — for example, above tax threshold, has disposable income, has employer provident-fund contribution, has health/life insurance, has a home loan, retirement-eligible, has dependents, has a liquidity buffer, has donations, has ETF or other investments, has a long investment horizon, high debt-to-income, has a vehicle, has property. Individual flags can be manually overridden.</w:t>
      </w:r>
    </w:p>
    <w:p>
      <w:pPr>
        <w:pStyle w:val="Heading2"/>
      </w:pPr>
      <w:r>
        <w:t>Synthetic History</w:t>
      </w:r>
    </w:p>
    <w:p>
      <w:r>
        <w:t>Because a profile holds only a single current snapshot, the system generates a synthetic monthly financial history (36 months by default) using a deterministic, seeded stochastic generator. This is explicitly documented as synthetic, clearly-labelled demonstration data supporting trend visualisation and the adoption-evidence panel — not a claim of real historical records.</w:t>
      </w:r>
    </w:p>
    <w:p>
      <w:pPr>
        <w:pStyle w:val="Heading2"/>
      </w:pPr>
      <w:r>
        <w:t>Recommendations and Feedback</w:t>
      </w:r>
    </w:p>
    <w:p>
      <w:r>
        <w:t>A `Recommendation` groups a set of `RecommendationItem` rows for a profile — one per ranked strategy — each carrying rank, estimated annual savings, adoption probability, risk score, confidence, and structured score/explanation payloads. `RecommendationFeedback` records whether a user accepted or dismissed a recommendation, with an optional reason and rating, and is the intended mechanism for eventually retraining the adoption model on real rather than proxy adoption behaviour.</w:t>
      </w:r>
    </w:p>
    <w:p>
      <w:pPr>
        <w:pStyle w:val="Heading2"/>
      </w:pPr>
      <w:r>
        <w:t>Tax Strategy Catalogue</w:t>
      </w:r>
    </w:p>
    <w:p>
      <w:r>
        <w:t>`TaxStrategy` is a catalogue table (code, name, category, description, legal reference, eligibility bounds on income/age/liquidity, risk profile, effort score). It is populated lazily from the YAML catalogue the first time a strategy is recommended, rather than via a seed migration.</w:t>
      </w:r>
    </w:p>
    <w:p>
      <w:pPr>
        <w:pStyle w:val="Heading1"/>
      </w:pPr>
      <w:r>
        <w:t>What the Rules Engine Actually Does During Recommendation and Simulation</w:t>
      </w:r>
    </w:p>
    <w:p>
      <w:r>
        <w:t>When a profile is scored, ranked, retrieved, or simulated, the production path calls the same deterministic tax rules engine every time. It does not let any learned model decide tax arithmetic.</w:t>
      </w:r>
    </w:p>
    <w:p>
      <w:pPr>
        <w:pStyle w:val="ListBullet"/>
      </w:pPr>
      <w:r>
        <w:t>The engine applies allowable deductions (life and health insurance, home loan interest, donations) to gross taxable income.</w:t>
      </w:r>
    </w:p>
    <w:p>
      <w:pPr>
        <w:pStyle w:val="ListBullet"/>
      </w:pPr>
      <w:r>
        <w:t>It then computes the resulting tax liability under the 2024/25 First Schedule bands.</w:t>
      </w:r>
    </w:p>
    <w:p>
      <w:pPr>
        <w:pStyle w:val="ListBullet"/>
      </w:pPr>
      <w:r>
        <w:t>This same calculation is reused, unchanged, by profile feature derivation, the strategy catalogue's eligibility evaluator, and every year of every path inside the Predictive Impact Modeling Engine.</w:t>
      </w:r>
    </w:p>
    <w:p>
      <w:pPr>
        <w:pStyle w:val="ListBullet"/>
      </w:pPr>
      <w:r>
        <w:t>If a strategy's eligibility conditions (income bounds, age bounds, liquidity bounds, risk profile) are not met by a profile's derived features, the strategy is excluded from ranking and retrieval rather than silently included.</w:t>
      </w:r>
    </w:p>
    <w:p>
      <w:pPr>
        <w:pStyle w:val="Heading1"/>
      </w:pPr>
      <w:r>
        <w:t>Recommendation Engine — How Strategies Are Ranked, Retrieved, and Combined</w:t>
      </w:r>
    </w:p>
    <w:p>
      <w:pPr>
        <w:pStyle w:val="Heading2"/>
      </w:pPr>
      <w:r>
        <w:t>Step 1 — Strategy Catalogue and Eligibility</w:t>
      </w:r>
    </w:p>
    <w:p>
      <w:r>
        <w:t>The catalogue is data-driven: each strategy carries eligibility rule expressions, a legal reference, and required documentation. A profile's derived features are checked against these conditions to produce a feasibility verdict per strategy, independently of any ranking model. The dedicated strategy-generation endpoint is currently a stub deferred to a later work package; the underlying rule-based evaluator is, however, already used internally by the ranking, RAG, and hybrid services below.</w:t>
      </w:r>
    </w:p>
    <w:p>
      <w:pPr>
        <w:pStyle w:val="Heading2"/>
      </w:pPr>
      <w:r>
        <w:t>Step 2 — Learning-to-Rank</w:t>
      </w:r>
    </w:p>
    <w:p>
      <w:r>
        <w:t>Eligible strategies are scored for a profile using a LightGBM LambdaMART model, invoked over a pairwise profile × strategy feature table. This produces the ranked recommendation list returned to the frontend, together with per-recommendation feedback capture for future retraining.</w:t>
      </w:r>
    </w:p>
    <w:p>
      <w:pPr>
        <w:pStyle w:val="Heading2"/>
      </w:pPr>
      <w:r>
        <w:t>Step 3 — Adoption-Likelihood Estimation</w:t>
      </w:r>
    </w:p>
    <w:p>
      <w:r>
        <w:t>A separate gradient-boosted classifier estimates the probability that a taxpayer adopts a given recommended strategy. This model is currently trained on a proxy label derived largely from rule-based eligibility, not on observed real adoption behaviour, because no real adoption dataset yet exists. The feedback table above is the intended path to replacing this proxy with genuine behavioural labels.</w:t>
      </w:r>
    </w:p>
    <w:p>
      <w:pPr>
        <w:pStyle w:val="Heading2"/>
      </w:pPr>
      <w:r>
        <w:t>Step 4 — Retrieval (RAG Prototype)</w:t>
      </w:r>
    </w:p>
    <w:p>
      <w:r>
        <w:t>A TF-IDF vector index (unigrams and bigrams) is built over the strategy catalogue's text (name, category, description, eligibility conditions, formula reference, required documents). A profile is converted into a text query and strategies are ranked by cosine similarity. This is retrieval only — the accompanying explanation text is template formatting of the retrieved data, not a generative model call.</w:t>
      </w:r>
    </w:p>
    <w:p>
      <w:pPr>
        <w:pStyle w:val="Heading2"/>
      </w:pPr>
      <w:r>
        <w:t>Step 5 — Hybrid Blending</w:t>
      </w:r>
    </w:p>
    <w:p>
      <w:r>
        <w:t>The hybrid recommender combines the ranking score and the retrieval score into one blended score:</w:t>
      </w:r>
    </w:p>
    <w:p>
      <w:r>
        <w:rPr>
          <w:rFonts w:ascii="Consolas" w:hAnsi="Consolas"/>
          <w:i/>
        </w:rPr>
        <w:t>hybrid_score = λ × lambdamart_score_normalised + (1 − λ) × rag_similarity_score</w:t>
      </w:r>
    </w:p>
    <w:p>
      <w:r>
        <w:t>with a default weighting of λ = 0.7 (ranking) and 1 − λ = 0.3 (retrieval), applied only to strategies that have already passed the rule-based eligibility filter in Step 1.</w:t>
      </w:r>
    </w:p>
    <w:p>
      <w:pPr>
        <w:pStyle w:val="Heading2"/>
      </w:pPr>
      <w:r>
        <w:t>Step 6 — Fallback Multi-Objective Score</w:t>
      </w:r>
    </w:p>
    <w:p>
      <w:r>
        <w:t>Where a learning-to-rank score is unavailable, a fallback weighted-sum formula combines estimated tax savings, adoption probability, feasibility, and a risk penalty into a single score using configurable weights. This fallback exists specifically for cases where the trained ranking artefact cannot be used; the primary path is the LambdaMART model in Step 2.</w:t>
      </w:r>
    </w:p>
    <w:p>
      <w:pPr>
        <w:pStyle w:val="Heading1"/>
      </w:pPr>
      <w:r>
        <w:t>Predictive Impact Modeling Engine — How the Simulation Actually Works</w:t>
      </w:r>
    </w:p>
    <w:p>
      <w:r>
        <w:t>This is the component most central to the taxpayer's decision, and — as with the Knowledge Graph in Component 2 — it is important to state precisely what it is: a Monte Carlo stochastic simulation over the deterministic tax rules engine described in Section 5. It is not a trained machine-learning model.</w:t>
      </w:r>
    </w:p>
    <w:p>
      <w:pPr>
        <w:pStyle w:val="Heading2"/>
      </w:pPr>
      <w:r>
        <w:t>What It Simulates</w:t>
      </w:r>
    </w:p>
    <w:p>
      <w:r>
        <w:t>Given a profile, an optional strategy, and a set of simulation parameters, the engine simulates a configurable number of independent multi-year trajectories ("paths") over a configurable horizon (10 years by default). For each path and year:</w:t>
      </w:r>
    </w:p>
    <w:p>
      <w:pPr>
        <w:pStyle w:val="ListBullet"/>
      </w:pPr>
      <w:r>
        <w:t>A random salary-growth rate is drawn (Gaussian, configurable mean, bounded range) and applied to income.</w:t>
      </w:r>
    </w:p>
    <w:p>
      <w:pPr>
        <w:pStyle w:val="ListBullet"/>
      </w:pPr>
      <w:r>
        <w:t>Annual tax is recomputed for that year and path by calling the deterministic tax rules engine from Section 5 — using either the baseline deduction profile or the strategy's deduction profile, with adoption in a given path gated by a random draw against a configurable adoption-success probability.</w:t>
      </w:r>
    </w:p>
    <w:p>
      <w:pPr>
        <w:pStyle w:val="ListBullet"/>
      </w:pPr>
      <w:r>
        <w:t>Expenses are inflated by a compounding inflation factor.</w:t>
      </w:r>
    </w:p>
    <w:p>
      <w:pPr>
        <w:pStyle w:val="ListBullet"/>
      </w:pPr>
      <w:r>
        <w:t>Disposable income and non-negative savings are computed for the year.</w:t>
      </w:r>
    </w:p>
    <w:p>
      <w:pPr>
        <w:pStyle w:val="ListBullet"/>
      </w:pPr>
      <w:r>
        <w:t>A random investment-return rate is drawn (Gaussian, bounded range) and compounded to update net worth.</w:t>
      </w:r>
    </w:p>
    <w:p>
      <w:pPr>
        <w:pStyle w:val="Heading2"/>
      </w:pPr>
      <w:r>
        <w:t>What It Produces</w:t>
      </w:r>
    </w:p>
    <w:p>
      <w:pPr>
        <w:pStyle w:val="ListBullet"/>
      </w:pPr>
      <w:r>
        <w:t>A median (P50) projection of salary, tax, savings, and net worth per year, for both the baseline scenario and, where a strategy is supplied, the strategy scenario.</w:t>
      </w:r>
    </w:p>
    <w:p>
      <w:pPr>
        <w:pStyle w:val="ListBullet"/>
      </w:pPr>
      <w:r>
        <w:t>Uncertainty bands (10th, 50th, and 90th percentile) computed across all simulated paths per year.</w:t>
      </w:r>
    </w:p>
    <w:p>
      <w:pPr>
        <w:pStyle w:val="ListBullet"/>
      </w:pPr>
      <w:r>
        <w:t>Summary statistics: expected total tax savings, expected net worth, standard deviation of savings, a 10th-percentile value-at-risk on net gain, and the probability that the strategy scenario yields a higher net worth than the baseline.</w:t>
      </w:r>
    </w:p>
    <w:p>
      <w:pPr>
        <w:pStyle w:val="Heading2"/>
      </w:pPr>
      <w:r>
        <w:t>What It Is Not</w:t>
      </w:r>
    </w:p>
    <w:p>
      <w:r>
        <w:t>It does not predict a single certain future. The mean parameters (salary growth, inflation, investment return, adoption-success probability) are user-adjustable assumptions, not guaranteed facts, and a wide gap between the 10th and 90th percentile bands reflects genuine modelled uncertainty rather than a defect. It is also distinct from the SHAP explanation panel below, which explains the ranking model's score, not the simulation.</w:t>
      </w:r>
    </w:p>
    <w:p>
      <w:pPr>
        <w:pStyle w:val="Heading1"/>
      </w:pPr>
      <w:r>
        <w:t>Explainability — How a Recommendation Is Explained</w:t>
      </w:r>
    </w:p>
    <w:p>
      <w:r>
        <w:t>After a strategy has been ranked, the system can explain why. This is a separate process from ranking and from simulation.</w:t>
      </w:r>
    </w:p>
    <w:p>
      <w:pPr>
        <w:pStyle w:val="ListBullet"/>
      </w:pPr>
      <w:r>
        <w:t>SHAP attributions are computed for a specific profile × strategy pair, producing top and bottom contributing reasons with direction.</w:t>
      </w:r>
    </w:p>
    <w:p>
      <w:pPr>
        <w:pStyle w:val="ListBullet"/>
      </w:pPr>
      <w:r>
        <w:t>This explains the ranking model's score only; it does not re-run the Predictive Impact Modeling Engine, and it requires the trained ranking artefacts to be available.</w:t>
      </w:r>
    </w:p>
    <w:p>
      <w:pPr>
        <w:pStyle w:val="ListBullet"/>
      </w:pPr>
      <w:r>
        <w:t>If those artefacts are unavailable, the system raises an explicit error rather than fabricating an explanation.</w:t>
      </w:r>
    </w:p>
    <w:p>
      <w:pPr>
        <w:pStyle w:val="Heading1"/>
      </w:pPr>
      <w:r>
        <w:t>Decision Support Dashboard</w:t>
      </w:r>
    </w:p>
    <w:p>
      <w:r>
        <w:t>The frontend (React 19 + TypeScript, TailwindCSS, Recharts) presents the following flow:</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Stage</w:t>
            </w:r>
          </w:p>
        </w:tc>
        <w:tc>
          <w:tcPr>
            <w:tcW w:type="dxa" w:w="4320"/>
          </w:tcPr>
          <w:p>
            <w:r>
              <w:rPr>
                <w:b/>
              </w:rPr>
              <w:t>What the system does</w:t>
            </w:r>
          </w:p>
        </w:tc>
      </w:tr>
      <w:tr>
        <w:tc>
          <w:tcPr>
            <w:tcW w:type="dxa" w:w="4320"/>
          </w:tcPr>
          <w:p>
            <w:r>
              <w:t>Profile</w:t>
            </w:r>
          </w:p>
        </w:tc>
        <w:tc>
          <w:tcPr>
            <w:tcW w:type="dxa" w:w="4320"/>
          </w:tcPr>
          <w:p>
            <w:r>
              <w:t>Create or edit a financial profile, including the extended employment, asset, and retirement fields.</w:t>
            </w:r>
          </w:p>
        </w:tc>
      </w:tr>
      <w:tr>
        <w:tc>
          <w:tcPr>
            <w:tcW w:type="dxa" w:w="4320"/>
          </w:tcPr>
          <w:p>
            <w:r>
              <w:t>Recommendations</w:t>
            </w:r>
          </w:p>
        </w:tc>
        <w:tc>
          <w:tcPr>
            <w:tcW w:type="dxa" w:w="4320"/>
          </w:tcPr>
          <w:p>
            <w:r>
              <w:t>View ranked strategies via the LambdaMART-only, RAG-only, or hybrid view.</w:t>
            </w:r>
          </w:p>
        </w:tc>
      </w:tr>
      <w:tr>
        <w:tc>
          <w:tcPr>
            <w:tcW w:type="dxa" w:w="4320"/>
          </w:tcPr>
          <w:p>
            <w:r>
              <w:t>Adoption Evidence</w:t>
            </w:r>
          </w:p>
        </w:tc>
        <w:tc>
          <w:tcPr>
            <w:tcW w:type="dxa" w:w="4320"/>
          </w:tcPr>
          <w:p>
            <w:r>
              <w:t>Review an adoption-likelihood panel built from the synthetic history and derived features.</w:t>
            </w:r>
          </w:p>
        </w:tc>
      </w:tr>
      <w:tr>
        <w:tc>
          <w:tcPr>
            <w:tcW w:type="dxa" w:w="4320"/>
          </w:tcPr>
          <w:p>
            <w:r>
              <w:t>Explain</w:t>
            </w:r>
          </w:p>
        </w:tc>
        <w:tc>
          <w:tcPr>
            <w:tcW w:type="dxa" w:w="4320"/>
          </w:tcPr>
          <w:p>
            <w:r>
              <w:t>Review a SHAP-based explanation of a chosen recommendation.</w:t>
            </w:r>
          </w:p>
        </w:tc>
      </w:tr>
      <w:tr>
        <w:tc>
          <w:tcPr>
            <w:tcW w:type="dxa" w:w="4320"/>
          </w:tcPr>
          <w:p>
            <w:r>
              <w:t>Impact</w:t>
            </w:r>
          </w:p>
        </w:tc>
        <w:tc>
          <w:tcPr>
            <w:tcW w:type="dxa" w:w="4320"/>
          </w:tcPr>
          <w:p>
            <w:r>
              <w:t>Run and review a Monte Carlo impact simulation — net-worth and tax-liability bands, year-by-year table, summary cards.</w:t>
            </w:r>
          </w:p>
        </w:tc>
      </w:tr>
      <w:tr>
        <w:tc>
          <w:tcPr>
            <w:tcW w:type="dxa" w:w="4320"/>
          </w:tcPr>
          <w:p>
            <w:r>
              <w:t>Compare</w:t>
            </w:r>
          </w:p>
        </w:tc>
        <w:tc>
          <w:tcPr>
            <w:tcW w:type="dxa" w:w="4320"/>
          </w:tcPr>
          <w:p>
            <w:r>
              <w:t>Compare multiple strategies against the same profile and horizon.</w:t>
            </w:r>
          </w:p>
        </w:tc>
      </w:tr>
    </w:tbl>
    <w:p/>
    <w:p>
      <w:r>
        <w:t>Separate login and portal pages exist for an auditor role and for taxpayer users, matching the two authentication paths on the backend.</w:t>
      </w:r>
    </w:p>
    <w:p>
      <w:pPr>
        <w:pStyle w:val="Heading1"/>
      </w:pPr>
      <w:r>
        <w:t>Synthetic Data Validation and Honesty Notes</w:t>
      </w:r>
    </w:p>
    <w:p>
      <w:r>
        <w:t>Because the profile dataset used for development and offline model training/evaluation is synthetic, a statistical validation was carried out comparing it against a separately constructed reference/audit-matched dataset, using two-sample Kolmogorov–Smirnov tests on continuous variables, chi-square tests on categorical margins, Jensen–Shannon divergence on income-composition signatures, and quantile-alignment comparison.</w:t>
      </w:r>
    </w:p>
    <w:p>
      <w:r>
        <w:t>The validation's own stated conclusion supports marginal distributional similarity, not row-level identity: full-sample KS p-values for some continuous variables fall below a strict significance threshold — an expected effect of testing at very large sample sizes — but the KS test statistic itself remains small across all tested continuous variables, and categorical margins pass their chi-square tests. This distinction — distributional plausibility rather than proof of real-world accuracy — should be preserved precisely in any paper claim about the synthetic data, since no comparison against genuinely observed taxpayer records was performed.</w:t>
      </w:r>
    </w:p>
    <w:p>
      <w:r>
        <w:t>Two further caveats, surfaced directly in the component's own working documentation, should be carried into the research paper rather than omitted:</w:t>
      </w:r>
    </w:p>
    <w:p>
      <w:pPr>
        <w:pStyle w:val="ListBullet"/>
      </w:pPr>
      <w:r>
        <w:t>The adoption-likelihood model is trained on a proxy label derived largely from rule-based eligibility, not on observed real-world adoption behaviour, because no such behavioural dataset currently exists.</w:t>
      </w:r>
    </w:p>
    <w:p>
      <w:pPr>
        <w:pStyle w:val="ListBullet"/>
      </w:pPr>
      <w:r>
        <w:t>Offline evaluation of the ranking model has previously shown near-ceiling performance, suspected to reflect a degree of circularity, since the evaluation labels and the training labels are both derived from the same underlying rule engine rather than an independent ground truth.</w:t>
      </w:r>
    </w:p>
    <w:p>
      <w:r>
        <w:t>No specific numeric accuracy, precision, or evaluation figures are reported in this document, as no verified figures were available in the codebase at the time of writing. Any such figures used in the final paper should be sourced directly from the underlying evaluation artefacts and cited with their provenance.</w:t>
      </w:r>
    </w:p>
    <w:p>
      <w:pPr>
        <w:pStyle w:val="Heading1"/>
      </w:pPr>
      <w:r>
        <w:t>Recent Changes (as of this document's date)</w:t>
      </w:r>
    </w:p>
    <w:p>
      <w:r>
        <w:t>The following changes were present in the working tree at the time this document was prepared, and should be reflected in any architecture description: extension of the financial profile with residency, nationality, employment type/sector, annual bonus, vehicle value, property value, and retirement age target fields, together with matching enumerations; inclusion of annual bonus income in annual taxable income, monthly disposable income, and savings-rate calculations; two new eligibility flags for vehicle and property ownership; and an increase in the default synthetic history window from 24 to 36 months. These changes are reflected consistently across the backend models, schemas, and services, and the corresponding frontend types and 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