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240" w:before="0"/>
        <w:jc w:val="center"/>
      </w:pPr>
      <w:r>
        <w:rPr>
          <w:rFonts w:ascii="Arial" w:cs="Arial" w:eastAsia="Arial" w:hAnsi="Arial"/>
          <w:b/>
          <w:bCs/>
          <w:color w:val="1A3A5C"/>
          <w:sz w:val="52"/>
          <w:szCs w:val="52"/>
        </w:rPr>
        <w:t xml:space="preserve">DISABILITY CLAIM APPROVAL INEQUALITY</w:t>
      </w:r>
    </w:p>
    <w:p>
      <w:pPr>
        <w:spacing w:after="120" w:before="0"/>
        <w:jc w:val="center"/>
      </w:pPr>
      <w:r>
        <w:rPr>
          <w:rFonts w:ascii="Arial" w:cs="Arial" w:eastAsia="Arial" w:hAnsi="Arial"/>
          <w:color w:val="2E75B6"/>
          <w:sz w:val="28"/>
          <w:szCs w:val="28"/>
        </w:rPr>
        <w:t xml:space="preserve">A Data-Driven Analysis of Structural Factors</w:t>
      </w:r>
    </w:p>
    <w:p>
      <w:pPr>
        <w:spacing w:after="480" w:before="0"/>
        <w:jc w:val="center"/>
      </w:pPr>
      <w:r>
        <w:rPr>
          <w:rFonts w:ascii="Arial" w:cs="Arial" w:eastAsia="Arial" w:hAnsi="Arial"/>
          <w:color w:val="2E75B6"/>
          <w:sz w:val="28"/>
          <w:szCs w:val="28"/>
        </w:rPr>
        <w:t xml:space="preserve">Driving State-Level Disparities in SSA Disability Approvals</w:t>
      </w:r>
    </w:p>
    <w:p>
      <w:pPr>
        <w:pBdr>
          <w:bottom w:val="single" w:color="2E75B6" w:sz="4" w:space="4"/>
        </w:pBdr>
        <w:spacing w:after="240" w:before="0"/>
        <w:jc w:val="center"/>
      </w:pPr>
      <w:r>
        <w:t xml:space="preserve"/>
      </w:r>
    </w:p>
    <w:p>
      <w:pPr>
        <w:spacing w:after="80" w:before="0"/>
        <w:jc w:val="center"/>
      </w:pPr>
      <w:r>
        <w:rPr>
          <w:rFonts w:ascii="Arial" w:cs="Arial" w:eastAsia="Arial" w:hAnsi="Arial"/>
          <w:color w:val="666666"/>
          <w:sz w:val="20"/>
          <w:szCs w:val="20"/>
        </w:rPr>
        <w:t xml:space="preserve">Data Sources: SSA State Agency Monthly Workload Data (2000–2026),</w:t>
      </w:r>
    </w:p>
    <w:p>
      <w:pPr>
        <w:spacing w:after="80" w:before="0"/>
        <w:jc w:val="center"/>
      </w:pPr>
      <w:r>
        <w:rPr>
          <w:rFonts w:ascii="Arial" w:cs="Arial" w:eastAsia="Arial" w:hAnsi="Arial"/>
          <w:color w:val="666666"/>
          <w:sz w:val="20"/>
          <w:szCs w:val="20"/>
        </w:rPr>
        <w:t xml:space="preserve">U.S. Census ACS 2023, Kaiser Family Foundation, Bureau of Labor Statistics</w:t>
      </w:r>
    </w:p>
    <w:p>
      <w:pPr>
        <w:spacing w:after="480" w:before="0"/>
        <w:jc w:val="center"/>
      </w:pPr>
      <w:r>
        <w:rPr>
          <w:rFonts w:ascii="Arial" w:cs="Arial" w:eastAsia="Arial" w:hAnsi="Arial"/>
          <w:color w:val="666666"/>
          <w:sz w:val="20"/>
          <w:szCs w:val="20"/>
        </w:rPr>
        <w:t xml:space="preserve">May 2026</w:t>
      </w:r>
    </w:p>
    <w:p>
      <w:r>
        <w:br w:type="page"/>
      </w:r>
    </w:p>
    <w:p>
      <w:pPr>
        <w:pStyle w:val="Heading1"/>
        <w:pBdr>
          <w:bottom w:val="single" w:color="2E75B6" w:sz="4" w:space="4"/>
        </w:pBdr>
        <w:spacing w:after="180" w:before="360"/>
      </w:pPr>
      <w:r>
        <w:rPr>
          <w:rFonts w:ascii="Arial" w:cs="Arial" w:eastAsia="Arial" w:hAnsi="Arial"/>
          <w:b/>
          <w:bCs/>
          <w:sz w:val="32"/>
          <w:szCs w:val="32"/>
        </w:rPr>
        <w:t xml:space="preserve">1. Executive Summary</w:t>
      </w:r>
    </w:p>
    <w:p>
      <w:pPr>
        <w:spacing w:after="80" w:before="80"/>
        <w:jc w:val="both"/>
      </w:pPr>
      <w:r>
        <w:rPr>
          <w:rFonts w:ascii="Arial" w:cs="Arial" w:eastAsia="Arial" w:hAnsi="Arial"/>
          <w:sz w:val="22"/>
          <w:szCs w:val="22"/>
        </w:rPr>
        <w:t xml:space="preserve">Disability claim approval rates across the United States vary by as much as 25 percentage points — from 53.2% in New Hampshire to 28.2% in Mississippi. This report investigates the structural factors driving this inequality using SSA State Agency Monthly Workload data spanning 2000 to 2026, enriched with state-level poverty rates, healthcare access metrics, industry composition data, and political party affiliation.</w:t>
      </w:r>
    </w:p>
    <w:p>
      <w:pPr>
        <w:spacing w:after="120" w:before="120"/>
      </w:pPr>
      <w:r>
        <w:t xml:space="preserve"/>
      </w:r>
    </w:p>
    <w:p>
      <w:pPr>
        <w:spacing w:after="80" w:before="80"/>
        <w:jc w:val="both"/>
      </w:pPr>
      <w:r>
        <w:rPr>
          <w:rFonts w:ascii="Arial" w:cs="Arial" w:eastAsia="Arial" w:hAnsi="Arial"/>
          <w:sz w:val="22"/>
          <w:szCs w:val="22"/>
        </w:rPr>
        <w:t xml:space="preserve">Our analysis identifies poverty rate as the single strongest predictor of approval rate disparities, with a statistically significant correlation of -0.674 (p &lt; 0.001), explaining 45.5% of all variance in state approval rates. Healthcare access, measured by physicians per 100,000 population, shows a moderate positive relationship (r = 0.323, p = 0.021). Political party affiliation and processing speed show negligible explanatory power, suggesting that the approval gap is driven by structural socioeconomic conditions rather than administrative policy differences.</w:t>
      </w:r>
    </w:p>
    <w:p>
      <w:pPr>
        <w:spacing w:after="120" w:before="120"/>
      </w:pPr>
      <w:r>
        <w:t xml:space="preserve"/>
      </w:r>
    </w:p>
    <w:p>
      <w:pPr>
        <w:spacing w:after="80" w:before="80"/>
        <w:jc w:val="both"/>
      </w:pPr>
      <w:r>
        <w:rPr>
          <w:rFonts w:ascii="Arial" w:cs="Arial" w:eastAsia="Arial" w:hAnsi="Arial"/>
          <w:sz w:val="22"/>
          <w:szCs w:val="22"/>
        </w:rPr>
        <w:t xml:space="preserve">The most critical finding is counterintuitive: the states that most need disability benefits are approving the fewest applications. Immediate policy interventions should focus on reducing documentation barriers for low-income applicants, while longer-term solutions require systemic investment in healthcare access and disability employment programs in high-poverty states.</w:t>
      </w:r>
    </w:p>
    <w:p>
      <w:pPr>
        <w:spacing w:after="120" w:before="120"/>
      </w:pPr>
      <w:r>
        <w:t xml:space="preserve"/>
      </w:r>
    </w:p>
    <w:p>
      <w:pPr>
        <w:pStyle w:val="Heading1"/>
        <w:pBdr>
          <w:bottom w:val="single" w:color="2E75B6" w:sz="4" w:space="4"/>
        </w:pBdr>
        <w:spacing w:after="180" w:before="360"/>
      </w:pPr>
      <w:r>
        <w:rPr>
          <w:rFonts w:ascii="Arial" w:cs="Arial" w:eastAsia="Arial" w:hAnsi="Arial"/>
          <w:b/>
          <w:bCs/>
          <w:sz w:val="32"/>
          <w:szCs w:val="32"/>
        </w:rPr>
        <w:t xml:space="preserve">2. Problem Statement</w:t>
      </w:r>
    </w:p>
    <w:p>
      <w:pPr>
        <w:spacing w:after="80" w:before="80"/>
        <w:jc w:val="both"/>
      </w:pPr>
      <w:r>
        <w:rPr>
          <w:rFonts w:ascii="Arial" w:cs="Arial" w:eastAsia="Arial" w:hAnsi="Arial"/>
          <w:sz w:val="22"/>
          <w:szCs w:val="22"/>
        </w:rPr>
        <w:t xml:space="preserve">The Social Security Administration (SSA) administers disability benefits through state-level Disability Determination Services (DDS) agencies that evaluate applications against federal eligibility criteria. Despite operating under the same federal standards, states exhibit dramatic variation in how often they approve disability claims.</w:t>
      </w:r>
    </w:p>
    <w:p>
      <w:pPr>
        <w:spacing w:after="120" w:before="120"/>
      </w:pPr>
      <w:r>
        <w:t xml:space="preserve"/>
      </w:r>
    </w:p>
    <w:p>
      <w:pPr>
        <w:spacing w:after="80" w:before="80"/>
        <w:jc w:val="both"/>
      </w:pPr>
      <w:r>
        <w:rPr>
          <w:rFonts w:ascii="Arial" w:cs="Arial" w:eastAsia="Arial" w:hAnsi="Arial"/>
          <w:sz w:val="22"/>
          <w:szCs w:val="22"/>
        </w:rPr>
        <w:t xml:space="preserve">This analysis seeks to answer the following central research question:</w:t>
      </w:r>
    </w:p>
    <w:p>
      <w:pPr>
        <w:spacing w:after="120" w:before="120"/>
      </w:pPr>
      <w:r>
        <w:t xml:space="preserve"/>
      </w:r>
    </w:p>
    <w:p>
      <w:pPr>
        <w:spacing w:after="120" w:before="120"/>
        <w:ind w:left="720" w:right="720"/>
        <w:jc w:val="center"/>
      </w:pPr>
      <w:r>
        <w:rPr>
          <w:rFonts w:ascii="Arial" w:cs="Arial" w:eastAsia="Arial" w:hAnsi="Arial"/>
          <w:b/>
          <w:bCs/>
          <w:i/>
          <w:iCs/>
          <w:color w:val="2E75B6"/>
          <w:sz w:val="22"/>
          <w:szCs w:val="22"/>
        </w:rPr>
        <w:t xml:space="preserve">"Why do disability claim approval rates vary by up to 25 percentage points across US states, and what structural factors drive this inequality?"</w:t>
      </w:r>
    </w:p>
    <w:p>
      <w:pPr>
        <w:spacing w:after="120" w:before="120"/>
      </w:pPr>
      <w:r>
        <w:t xml:space="preserve"/>
      </w:r>
    </w:p>
    <w:p>
      <w:pPr>
        <w:spacing w:after="80" w:before="80"/>
        <w:jc w:val="both"/>
      </w:pPr>
      <w:r>
        <w:rPr>
          <w:rFonts w:ascii="Arial" w:cs="Arial" w:eastAsia="Arial" w:hAnsi="Arial"/>
          <w:sz w:val="22"/>
          <w:szCs w:val="22"/>
        </w:rPr>
        <w:t xml:space="preserve">A 25-percentage-point gap in approval rates is not a minor administrative variation — it represents hundreds of thousands of Americans being denied or approved for life-changing benefits based on where they live rather than the severity of their disability. Understanding the root causes of this disparity is essential for designing equitable policy interventions.</w:t>
      </w:r>
    </w:p>
    <w:p>
      <w:pPr>
        <w:spacing w:after="120" w:before="120"/>
      </w:pPr>
      <w:r>
        <w:t xml:space="preserve"/>
      </w:r>
    </w:p>
    <w:p>
      <w:pPr>
        <w:pStyle w:val="Heading1"/>
        <w:pBdr>
          <w:bottom w:val="single" w:color="2E75B6" w:sz="4" w:space="4"/>
        </w:pBdr>
        <w:spacing w:after="180" w:before="360"/>
      </w:pPr>
      <w:r>
        <w:rPr>
          <w:rFonts w:ascii="Arial" w:cs="Arial" w:eastAsia="Arial" w:hAnsi="Arial"/>
          <w:b/>
          <w:bCs/>
          <w:sz w:val="32"/>
          <w:szCs w:val="32"/>
        </w:rPr>
        <w:t xml:space="preserve">3. Hypotheses</w:t>
      </w:r>
    </w:p>
    <w:p>
      <w:pPr>
        <w:spacing w:after="80" w:before="80"/>
        <w:jc w:val="both"/>
      </w:pPr>
      <w:r>
        <w:rPr>
          <w:rFonts w:ascii="Arial" w:cs="Arial" w:eastAsia="Arial" w:hAnsi="Arial"/>
          <w:sz w:val="22"/>
          <w:szCs w:val="22"/>
        </w:rPr>
        <w:t xml:space="preserve">Six hypotheses were formulated to explain state-level variation in disability approval rates: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80"/>
        <w:gridCol w:w="36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 Tested</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Predicted Direction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H1 — Economic Hardship</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Poverty Rate</w:t>
            </w:r>
          </w:p>
        </w:tc>
        <w:tc>
          <w:tcPr>
            <w:tcW w:type="dxa" w:w="3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Higher poverty → Lower approvals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 — Healthcare Access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Physicians per 100k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physicians → Higher approvals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H3 — Industry Composition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Demanding Industries</w:t>
            </w:r>
          </w:p>
        </w:tc>
        <w:tc>
          <w:tcPr>
            <w:tcW w:type="dxa" w:w="3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More demanding industry → More claims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H4 — Political Party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Governor Party (R/D)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Republican → Lower approvals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H5 — Processing Capacity</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Processing Rate %</w:t>
            </w:r>
          </w:p>
        </w:tc>
        <w:tc>
          <w:tcPr>
            <w:tcW w:type="dxa" w:w="3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Faster processing → Lower approvals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H6 — Attorney Representation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Demanding Industries (proxy)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industry → Lower approvals</w:t>
            </w:r>
          </w:p>
        </w:tc>
      </w:tr>
    </w:tbl>
    <w:p>
      <w:pPr>
        <w:spacing w:after="120" w:before="120"/>
      </w:pPr>
      <w:r>
        <w:t xml:space="preserve"/>
      </w:r>
    </w:p>
    <w:p>
      <w:pPr>
        <w:spacing w:after="80" w:before="80"/>
        <w:jc w:val="both"/>
      </w:pPr>
      <w:r>
        <w:rPr>
          <w:rFonts w:ascii="Arial" w:cs="Arial" w:eastAsia="Arial" w:hAnsi="Arial"/>
          <w:i/>
          <w:iCs/>
          <w:color w:val="666666"/>
          <w:sz w:val="22"/>
          <w:szCs w:val="22"/>
        </w:rPr>
        <w:t xml:space="preserve">Note: Attorney density data was unavailable at the state level. Physically demanding industry composition was used as a proxy for H6, as states with more labor-intensive industries tend to have different legal representation patterns for disability claims.</w:t>
      </w:r>
    </w:p>
    <w:p>
      <w:pPr>
        <w:spacing w:after="120" w:before="120"/>
      </w:pPr>
      <w:r>
        <w:t xml:space="preserve"/>
      </w:r>
    </w:p>
    <w:p>
      <w:pPr>
        <w:pStyle w:val="Heading1"/>
        <w:pBdr>
          <w:bottom w:val="single" w:color="2E75B6" w:sz="4" w:space="4"/>
        </w:pBdr>
        <w:spacing w:after="180" w:before="360"/>
      </w:pPr>
      <w:r>
        <w:rPr>
          <w:rFonts w:ascii="Arial" w:cs="Arial" w:eastAsia="Arial" w:hAnsi="Arial"/>
          <w:b/>
          <w:bCs/>
          <w:sz w:val="32"/>
          <w:szCs w:val="32"/>
        </w:rPr>
        <w:t xml:space="preserve">4. Data Collection</w:t>
      </w:r>
    </w:p>
    <w:p>
      <w:pPr>
        <w:spacing w:after="80" w:before="80"/>
        <w:jc w:val="both"/>
      </w:pPr>
      <w:r>
        <w:rPr>
          <w:rFonts w:ascii="Arial" w:cs="Arial" w:eastAsia="Arial" w:hAnsi="Arial"/>
          <w:sz w:val="22"/>
          <w:szCs w:val="22"/>
        </w:rPr>
        <w:t xml:space="preserve">This analysis draws on four primary data sources: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SSA State Agency Monthly Workload</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Receipts, determinations, pending claims, allowance rates by claim type</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2000–2026, all 51 states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Census Bureau ACS 2023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poverty rates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 all 51 states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Kaiser Family Foundation 2022</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Active physicians per 100,000 population</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2022, all 51 states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Bureau of Labor Statistics 2023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composition by state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 all 51 states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Ballotpedia 2023</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Governor political party affiliation</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2023, all 51 states</w:t>
            </w:r>
          </w:p>
        </w:tc>
      </w:tr>
    </w:tbl>
    <w:p>
      <w:pPr>
        <w:spacing w:after="120" w:before="120"/>
      </w:pPr>
      <w:r>
        <w:t xml:space="preserve"/>
      </w:r>
    </w:p>
    <w:p>
      <w:pPr>
        <w:spacing w:after="80" w:before="80"/>
        <w:jc w:val="both"/>
      </w:pPr>
      <w:r>
        <w:rPr>
          <w:rFonts w:ascii="Arial" w:cs="Arial" w:eastAsia="Arial" w:hAnsi="Arial"/>
          <w:sz w:val="22"/>
          <w:szCs w:val="22"/>
        </w:rPr>
        <w:t xml:space="preserve">The SSA dataset contains 16,994 rows and 93 columns covering monthly state-level workload metrics. All numeric columns were standardized, and analysis was restricted to the 51 US states and DC. Territories (Guam, Puerto Rico) and internal SSA region codes were excluded. State-level external variables were merged with time-averaged SSA metrics to produce a master analytical dataset of 51 observations.</w:t>
      </w:r>
    </w:p>
    <w:p>
      <w:pPr>
        <w:spacing w:after="120" w:before="120"/>
      </w:pPr>
      <w:r>
        <w:t xml:space="preserve"/>
      </w:r>
    </w:p>
    <w:p>
      <w:pPr>
        <w:pStyle w:val="Heading1"/>
        <w:pBdr>
          <w:bottom w:val="single" w:color="2E75B6" w:sz="4" w:space="4"/>
        </w:pBdr>
        <w:spacing w:after="180" w:before="360"/>
      </w:pPr>
      <w:r>
        <w:rPr>
          <w:rFonts w:ascii="Arial" w:cs="Arial" w:eastAsia="Arial" w:hAnsi="Arial"/>
          <w:b/>
          <w:bCs/>
          <w:sz w:val="32"/>
          <w:szCs w:val="32"/>
        </w:rPr>
        <w:t xml:space="preserve">5. Analysis &amp; Findings</w:t>
      </w:r>
    </w:p>
    <w:p>
      <w:pPr>
        <w:pStyle w:val="Heading2"/>
        <w:spacing w:after="120" w:before="240"/>
      </w:pPr>
      <w:r>
        <w:rPr>
          <w:rFonts w:ascii="Arial" w:cs="Arial" w:eastAsia="Arial" w:hAnsi="Arial"/>
          <w:b/>
          <w:bCs/>
          <w:color w:val="2E75B6"/>
          <w:sz w:val="26"/>
          <w:szCs w:val="26"/>
        </w:rPr>
        <w:t xml:space="preserve">5.1 Hypothesis Testing Results</w:t>
      </w:r>
    </w:p>
    <w:p>
      <w:pPr>
        <w:spacing w:after="80" w:before="80"/>
        <w:jc w:val="both"/>
      </w:pPr>
      <w:r>
        <w:rPr>
          <w:rFonts w:ascii="Arial" w:cs="Arial" w:eastAsia="Arial" w:hAnsi="Arial"/>
          <w:sz w:val="22"/>
          <w:szCs w:val="22"/>
        </w:rPr>
        <w:t xml:space="preserve">Pearson correlation coefficients and associated p-values were calculated for each continuous hypothesis. Political party (H4) was evaluated using group mean comparison.</w:t>
      </w:r>
    </w:p>
    <w:p>
      <w:pPr>
        <w:spacing w:after="120" w:before="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000"/>
        <w:gridCol w:w="1200"/>
        <w:gridCol w:w="1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Correlation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R²</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H1 — Poverty Rate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-0.674</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 0.001</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45.5%</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Strong</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 — Physicians per 100k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Supported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H3 — Demanding Industry vs Volume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-0.080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0.578</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0.6%</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Weak</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H4 — Political Party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2.4pt gap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Rejected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H5 — Processing Speed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-0.153</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0.284</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2.3%</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Weak</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H6 — Industry vs Approval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Supported</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5.2 Key Finding 1: Poverty is the Dominant Driver</w:t>
      </w:r>
    </w:p>
    <w:p>
      <w:pPr>
        <w:spacing w:after="80" w:before="80"/>
        <w:jc w:val="both"/>
      </w:pPr>
      <w:r>
        <w:rPr>
          <w:rFonts w:ascii="Arial" w:cs="Arial" w:eastAsia="Arial" w:hAnsi="Arial"/>
          <w:sz w:val="22"/>
          <w:szCs w:val="22"/>
        </w:rPr>
        <w:t xml:space="preserve">The strongest finding of this analysis is the robust negative relationship between state poverty rates and disability approval rates (r = -0.674, p &lt; 0.001). Poverty rate alone explains 45.5% of all variance in state-level approval rates — a remarkably high explanatory power for a single variable in a complex policy environment.</w:t>
      </w:r>
    </w:p>
    <w:p>
      <w:pPr>
        <w:spacing w:after="120" w:before="120"/>
      </w:pPr>
      <w:r>
        <w:t xml:space="preserve"/>
      </w:r>
    </w:p>
    <w:p>
      <w:pPr>
        <w:spacing w:after="80" w:before="80"/>
        <w:jc w:val="both"/>
      </w:pPr>
      <w:r>
        <w:rPr>
          <w:rFonts w:ascii="Arial" w:cs="Arial" w:eastAsia="Arial" w:hAnsi="Arial"/>
          <w:sz w:val="22"/>
          <w:szCs w:val="22"/>
        </w:rPr>
        <w:t xml:space="preserve">This relationship is counterintuitive and alarming: states with the highest rates of poverty, where disability benefits would have the greatest impact on citizens’ lives, are systematically approving fewer applications. Mississippi, with a poverty rate of 19.8%, has an average approval rate of 28.2%. New Hampshire, with a poverty rate of 7.2%, approves 53.2% of applicants.</w:t>
      </w:r>
    </w:p>
    <w:p>
      <w:pPr>
        <w:spacing w:after="120" w:before="120"/>
      </w:pPr>
      <w:r>
        <w:t xml:space="preserve"/>
      </w:r>
    </w:p>
    <w:p>
      <w:pPr>
        <w:spacing w:after="80" w:before="80"/>
        <w:jc w:val="both"/>
      </w:pPr>
      <w:r>
        <w:rPr>
          <w:rFonts w:ascii="Arial" w:cs="Arial" w:eastAsia="Arial" w:hAnsi="Arial"/>
          <w:sz w:val="22"/>
          <w:szCs w:val="22"/>
        </w:rPr>
        <w:t xml:space="preserve">The likely mechanism is documentation quality. Disability applications require extensive medical records, physician evaluations, and often legal representation. Low-income applicants in high-poverty states face multiple compounding barriers: fewer healthcare providers, inability to afford specialists, limited access to legal aid, lower digital literacy for navigating online application systems, and reduced capacity to take time off work to gather documentation.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5.3 Key Finding 2: Healthcare Access Matters</w:t>
      </w:r>
    </w:p>
    <w:p>
      <w:pPr>
        <w:spacing w:after="80" w:before="80"/>
        <w:jc w:val="both"/>
      </w:pPr>
      <w:r>
        <w:rPr>
          <w:rFonts w:ascii="Arial" w:cs="Arial" w:eastAsia="Arial" w:hAnsi="Arial"/>
          <w:sz w:val="22"/>
          <w:szCs w:val="22"/>
        </w:rPr>
        <w:t xml:space="preserve">States with more physicians per 100,000 population have meaningfully higher approval rates (r = +0.323, p = 0.021). This finding supports the documentation quality hypothesis: better healthcare access enables applicants to obtain the thorough medical evaluations required to build a compelling disability case.</w:t>
      </w:r>
    </w:p>
    <w:p>
      <w:pPr>
        <w:spacing w:after="120" w:before="120"/>
      </w:pPr>
      <w:r>
        <w:t xml:space="preserve"/>
      </w:r>
    </w:p>
    <w:p>
      <w:pPr>
        <w:spacing w:after="80" w:before="80"/>
        <w:jc w:val="both"/>
      </w:pPr>
      <w:r>
        <w:rPr>
          <w:rFonts w:ascii="Arial" w:cs="Arial" w:eastAsia="Arial" w:hAnsi="Arial"/>
          <w:sz w:val="22"/>
          <w:szCs w:val="22"/>
        </w:rPr>
        <w:t xml:space="preserve">DC has 786 physicians per 100,000 (the highest) while Mississippi has 166 (among the lowest). This healthcare infrastructure gap compounds the poverty effect, as the states with the most economically vulnerable populations also tend to have the fewest medical providers.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5.4 Key Finding 3: Political Party Has Minimal Effect</w:t>
      </w:r>
    </w:p>
    <w:p>
      <w:pPr>
        <w:spacing w:after="80" w:before="80"/>
        <w:jc w:val="both"/>
      </w:pPr>
      <w:r>
        <w:rPr>
          <w:rFonts w:ascii="Arial" w:cs="Arial" w:eastAsia="Arial" w:hAnsi="Arial"/>
          <w:sz w:val="22"/>
          <w:szCs w:val="22"/>
        </w:rPr>
        <w:t xml:space="preserve">Contrary to common perception, governor political party affiliation shows only a 2.4 percentage point difference in average approval rates between Republican-governed (36.9%) and Democrat-governed (39.3%) states. This difference is small enough to be explained by underlying socioeconomic differences between states rather than deliberate policy choices.</w:t>
      </w:r>
    </w:p>
    <w:p>
      <w:pPr>
        <w:spacing w:after="120" w:before="120"/>
      </w:pPr>
      <w:r>
        <w:t xml:space="preserve"/>
      </w:r>
    </w:p>
    <w:p>
      <w:pPr>
        <w:spacing w:after="80" w:before="80"/>
        <w:jc w:val="both"/>
      </w:pPr>
      <w:r>
        <w:rPr>
          <w:rFonts w:ascii="Arial" w:cs="Arial" w:eastAsia="Arial" w:hAnsi="Arial"/>
          <w:sz w:val="22"/>
          <w:szCs w:val="22"/>
        </w:rPr>
        <w:t xml:space="preserve">This is a significant finding for policy discourse: the approval rate gap is not primarily a partisan policy problem. It is a structural socioeconomic problem that transcends political party lines. Solutions therefore should focus on systemic resource interventions rather than political advocacy.</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5.5 Key Finding 4: Backlog Crisis with Recent Improvement</w:t>
      </w:r>
    </w:p>
    <w:p>
      <w:pPr>
        <w:spacing w:after="80" w:before="80"/>
        <w:jc w:val="both"/>
      </w:pPr>
      <w:r>
        <w:rPr>
          <w:rFonts w:ascii="Arial" w:cs="Arial" w:eastAsia="Arial" w:hAnsi="Arial"/>
          <w:sz w:val="22"/>
          <w:szCs w:val="22"/>
        </w:rPr>
        <w:t xml:space="preserve">At current processing rates, Maryland would require 14.1 months to clear its existing backlog even if it received no new applications. Florida would need 11.4 months. Texas, despite having the largest absolute backlog (111,862 pending claims), would clear it in 7.1 months due to higher throughput.</w:t>
      </w:r>
    </w:p>
    <w:p>
      <w:pPr>
        <w:spacing w:after="120" w:before="120"/>
      </w:pPr>
      <w:r>
        <w:t xml:space="preserve"/>
      </w:r>
    </w:p>
    <w:p>
      <w:pPr>
        <w:spacing w:after="80" w:before="80"/>
        <w:jc w:val="both"/>
      </w:pPr>
      <w:r>
        <w:rPr>
          <w:rFonts w:ascii="Arial" w:cs="Arial" w:eastAsia="Arial" w:hAnsi="Arial"/>
          <w:sz w:val="22"/>
          <w:szCs w:val="22"/>
        </w:rPr>
        <w:t xml:space="preserve">Nationally, the backlog showed meaningful improvement between mid-2024 and late 2025, with monthly determinations consistently exceeding receipts for the first time in years. However, early 2026 data shows the gap turning positive again, suggesting a potential reversal of this progress that warrants immediate monitoring.</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5.6 Key Finding 5: Concurrent Applicants Face Highest Barriers</w:t>
      </w:r>
    </w:p>
    <w:p>
      <w:pPr>
        <w:spacing w:after="80" w:before="80"/>
        <w:jc w:val="both"/>
      </w:pPr>
      <w:r>
        <w:rPr>
          <w:rFonts w:ascii="Arial" w:cs="Arial" w:eastAsia="Arial" w:hAnsi="Arial"/>
          <w:sz w:val="22"/>
          <w:szCs w:val="22"/>
        </w:rPr>
        <w:t xml:space="preserve">Applicants who apply for both SSDI and SSI simultaneously (concurrent filers) have the lowest national average approval rate at 26.3%, compared to 45.1% for SSDI-only and 39.7% for SSI-only applicants. Concurrent filers are typically the most financially vulnerable population — those who qualify for need-based SSI in addition to having a work history that qualifies them for SSDI.</w:t>
      </w:r>
    </w:p>
    <w:p>
      <w:pPr>
        <w:spacing w:after="120" w:before="120"/>
      </w:pPr>
      <w:r>
        <w:t xml:space="preserve"/>
      </w:r>
    </w:p>
    <w:p>
      <w:pPr>
        <w:spacing w:after="80" w:before="80"/>
        <w:jc w:val="both"/>
      </w:pPr>
      <w:r>
        <w:rPr>
          <w:rFonts w:ascii="Arial" w:cs="Arial" w:eastAsia="Arial" w:hAnsi="Arial"/>
          <w:sz w:val="22"/>
          <w:szCs w:val="22"/>
        </w:rPr>
        <w:t xml:space="preserve">This finding is particularly troubling from an equity perspective: the applicants who need benefits most urgently face the lowest probability of approval. The complexity of concurrent applications may overwhelm applicants without legal assistance, contributing to higher denial rates.</w:t>
      </w:r>
    </w:p>
    <w:p>
      <w:pPr>
        <w:spacing w:after="120" w:before="120"/>
      </w:pPr>
      <w:r>
        <w:t xml:space="preserve"/>
      </w:r>
    </w:p>
    <w:p>
      <w:pPr>
        <w:pStyle w:val="Heading1"/>
        <w:pBdr>
          <w:bottom w:val="single" w:color="2E75B6" w:sz="4" w:space="4"/>
        </w:pBdr>
        <w:spacing w:after="180" w:before="360"/>
      </w:pPr>
      <w:r>
        <w:rPr>
          <w:rFonts w:ascii="Arial" w:cs="Arial" w:eastAsia="Arial" w:hAnsi="Arial"/>
          <w:b/>
          <w:bCs/>
          <w:sz w:val="32"/>
          <w:szCs w:val="32"/>
        </w:rPr>
        <w:t xml:space="preserve">6. Root Cause Analysis</w:t>
      </w:r>
    </w:p>
    <w:p>
      <w:pPr>
        <w:spacing w:after="80" w:before="80"/>
        <w:jc w:val="both"/>
      </w:pPr>
      <w:r>
        <w:rPr>
          <w:rFonts w:ascii="Arial" w:cs="Arial" w:eastAsia="Arial" w:hAnsi="Arial"/>
          <w:sz w:val="22"/>
          <w:szCs w:val="22"/>
        </w:rPr>
        <w:t xml:space="preserve">The data points to a primary root cause: documentation inequality driven by poverty and healthcare access disparities.</w:t>
      </w:r>
    </w:p>
    <w:p>
      <w:pPr>
        <w:spacing w:after="120" w:before="120"/>
      </w:pPr>
      <w:r>
        <w:t xml:space="preserve"/>
      </w:r>
    </w:p>
    <w:p>
      <w:pPr>
        <w:spacing w:after="80" w:before="80"/>
        <w:jc w:val="both"/>
      </w:pPr>
      <w:r>
        <w:rPr>
          <w:rFonts w:ascii="Arial" w:cs="Arial" w:eastAsia="Arial" w:hAnsi="Arial"/>
          <w:sz w:val="22"/>
          <w:szCs w:val="22"/>
        </w:rPr>
        <w:t xml:space="preserve">The SSA’s disability determination process is fundamentally a documentation-intensive legal proceeding. Applicants must prove, through medical evidence, that their condition meets specific federal criteria. This process advantages applicants who have:</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Regular access to physicians who can provide detailed functional assessments</w:t>
      </w:r>
    </w:p>
    <w:p>
      <w:pPr>
        <w:pStyle w:val="ListParagraph"/>
        <w:numPr>
          <w:ilvl w:val="0"/>
          <w:numId w:val="2"/>
        </w:numPr>
        <w:spacing w:after="60" w:before="60"/>
      </w:pPr>
      <w:r>
        <w:rPr>
          <w:rFonts w:ascii="Arial" w:cs="Arial" w:eastAsia="Arial" w:hAnsi="Arial"/>
          <w:sz w:val="22"/>
          <w:szCs w:val="22"/>
        </w:rPr>
        <w:t xml:space="preserve">Medical records spanning sufficient time to demonstrate chronic conditions</w:t>
      </w:r>
    </w:p>
    <w:p>
      <w:pPr>
        <w:pStyle w:val="ListParagraph"/>
        <w:numPr>
          <w:ilvl w:val="0"/>
          <w:numId w:val="2"/>
        </w:numPr>
        <w:spacing w:after="60" w:before="60"/>
      </w:pPr>
      <w:r>
        <w:rPr>
          <w:rFonts w:ascii="Arial" w:cs="Arial" w:eastAsia="Arial" w:hAnsi="Arial"/>
          <w:sz w:val="22"/>
          <w:szCs w:val="22"/>
        </w:rPr>
        <w:t xml:space="preserve">Legal representation to identify and present the strongest evidence</w:t>
      </w:r>
    </w:p>
    <w:p>
      <w:pPr>
        <w:pStyle w:val="ListParagraph"/>
        <w:numPr>
          <w:ilvl w:val="0"/>
          <w:numId w:val="2"/>
        </w:numPr>
        <w:spacing w:after="60" w:before="60"/>
      </w:pPr>
      <w:r>
        <w:rPr>
          <w:rFonts w:ascii="Arial" w:cs="Arial" w:eastAsia="Arial" w:hAnsi="Arial"/>
          <w:sz w:val="22"/>
          <w:szCs w:val="22"/>
        </w:rPr>
        <w:t xml:space="preserve">Time and resources to gather documentation without losing income</w:t>
      </w:r>
    </w:p>
    <w:p>
      <w:pPr>
        <w:pStyle w:val="ListParagraph"/>
        <w:numPr>
          <w:ilvl w:val="0"/>
          <w:numId w:val="2"/>
        </w:numPr>
        <w:spacing w:after="60" w:before="60"/>
      </w:pPr>
      <w:r>
        <w:rPr>
          <w:rFonts w:ascii="Arial" w:cs="Arial" w:eastAsia="Arial" w:hAnsi="Arial"/>
          <w:sz w:val="22"/>
          <w:szCs w:val="22"/>
        </w:rPr>
        <w:t xml:space="preserve">Digital literacy and access to navigate online application systems</w:t>
      </w:r>
    </w:p>
    <w:p>
      <w:pPr>
        <w:spacing w:after="120" w:before="120"/>
      </w:pPr>
      <w:r>
        <w:t xml:space="preserve"/>
      </w:r>
    </w:p>
    <w:p>
      <w:pPr>
        <w:spacing w:after="80" w:before="80"/>
        <w:jc w:val="both"/>
      </w:pPr>
      <w:r>
        <w:rPr>
          <w:rFonts w:ascii="Arial" w:cs="Arial" w:eastAsia="Arial" w:hAnsi="Arial"/>
          <w:sz w:val="22"/>
          <w:szCs w:val="22"/>
        </w:rPr>
        <w:t xml:space="preserve">Low-income applicants in high-poverty states systematically lack these advantages. The SSA’s federal eligibility criteria are uniform, but the ability to meet the evidentiary burden of proof is highly unequal. The result is a system where approval rates reflect applicant resources as much as medical condition severity.</w:t>
      </w:r>
    </w:p>
    <w:p>
      <w:pPr>
        <w:spacing w:after="120" w:before="120"/>
      </w:pPr>
      <w:r>
        <w:t xml:space="preserve"/>
      </w:r>
    </w:p>
    <w:p>
      <w:pPr>
        <w:spacing w:after="80" w:before="80"/>
        <w:jc w:val="both"/>
      </w:pPr>
      <w:r>
        <w:rPr>
          <w:rFonts w:ascii="Arial" w:cs="Arial" w:eastAsia="Arial" w:hAnsi="Arial"/>
          <w:sz w:val="22"/>
          <w:szCs w:val="22"/>
        </w:rPr>
        <w:t xml:space="preserve">The 5 Whys analysis for Mississippi’s 28.2% approval rate:</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Why are approvals low? → Applications lack sufficient medical evidence</w:t>
      </w:r>
    </w:p>
    <w:p>
      <w:pPr>
        <w:pStyle w:val="ListParagraph"/>
        <w:numPr>
          <w:ilvl w:val="0"/>
          <w:numId w:val="2"/>
        </w:numPr>
        <w:spacing w:after="60" w:before="60"/>
      </w:pPr>
      <w:r>
        <w:rPr>
          <w:rFonts w:ascii="Arial" w:cs="Arial" w:eastAsia="Arial" w:hAnsi="Arial"/>
          <w:sz w:val="22"/>
          <w:szCs w:val="22"/>
        </w:rPr>
        <w:t xml:space="preserve">Why is evidence insufficient? → Applicants cannot obtain thorough medical evaluations</w:t>
      </w:r>
    </w:p>
    <w:p>
      <w:pPr>
        <w:pStyle w:val="ListParagraph"/>
        <w:numPr>
          <w:ilvl w:val="0"/>
          <w:numId w:val="2"/>
        </w:numPr>
        <w:spacing w:after="60" w:before="60"/>
      </w:pPr>
      <w:r>
        <w:rPr>
          <w:rFonts w:ascii="Arial" w:cs="Arial" w:eastAsia="Arial" w:hAnsi="Arial"/>
          <w:sz w:val="22"/>
          <w:szCs w:val="22"/>
        </w:rPr>
        <w:t xml:space="preserve">Why can’t they get evaluations? → Few physicians and limited healthcare access</w:t>
      </w:r>
    </w:p>
    <w:p>
      <w:pPr>
        <w:pStyle w:val="ListParagraph"/>
        <w:numPr>
          <w:ilvl w:val="0"/>
          <w:numId w:val="2"/>
        </w:numPr>
        <w:spacing w:after="60" w:before="60"/>
      </w:pPr>
      <w:r>
        <w:rPr>
          <w:rFonts w:ascii="Arial" w:cs="Arial" w:eastAsia="Arial" w:hAnsi="Arial"/>
          <w:sz w:val="22"/>
          <w:szCs w:val="22"/>
        </w:rPr>
        <w:t xml:space="preserve">Why is healthcare access limited? → High poverty reduces insurance coverage and affordability</w:t>
      </w:r>
    </w:p>
    <w:p>
      <w:pPr>
        <w:pStyle w:val="ListParagraph"/>
        <w:numPr>
          <w:ilvl w:val="0"/>
          <w:numId w:val="2"/>
        </w:numPr>
        <w:spacing w:after="60" w:before="60"/>
      </w:pPr>
      <w:r>
        <w:rPr>
          <w:rFonts w:ascii="Arial" w:cs="Arial" w:eastAsia="Arial" w:hAnsi="Arial"/>
          <w:sz w:val="22"/>
          <w:szCs w:val="22"/>
        </w:rPr>
        <w:t xml:space="preserve">Why does poverty persist? → Structural economic factors including high disability rates that reduce workforce participation</w:t>
      </w:r>
    </w:p>
    <w:p>
      <w:pPr>
        <w:spacing w:after="120" w:before="120"/>
      </w:pPr>
      <w:r>
        <w:t xml:space="preserve"/>
      </w:r>
    </w:p>
    <w:p>
      <w:pPr>
        <w:spacing w:after="80" w:before="80"/>
        <w:jc w:val="both"/>
      </w:pPr>
      <w:r>
        <w:rPr>
          <w:rFonts w:ascii="Arial" w:cs="Arial" w:eastAsia="Arial" w:hAnsi="Arial"/>
          <w:sz w:val="22"/>
          <w:szCs w:val="22"/>
        </w:rPr>
        <w:t xml:space="preserve">This creates a reinforcing cycle: disability leads to poverty, poverty leads to poor healthcare access, poor healthcare access leads to denied disability claims, and denied claims perpetuate poverty.</w:t>
      </w:r>
    </w:p>
    <w:p>
      <w:pPr>
        <w:spacing w:after="120" w:before="120"/>
      </w:pPr>
      <w:r>
        <w:t xml:space="preserve"/>
      </w:r>
    </w:p>
    <w:p>
      <w:pPr>
        <w:pStyle w:val="Heading1"/>
        <w:pBdr>
          <w:bottom w:val="single" w:color="2E75B6" w:sz="4" w:space="4"/>
        </w:pBdr>
        <w:spacing w:after="180" w:before="360"/>
      </w:pPr>
      <w:r>
        <w:rPr>
          <w:rFonts w:ascii="Arial" w:cs="Arial" w:eastAsia="Arial" w:hAnsi="Arial"/>
          <w:b/>
          <w:bCs/>
          <w:sz w:val="32"/>
          <w:szCs w:val="32"/>
        </w:rPr>
        <w:t xml:space="preserve">7. Recommendations</w:t>
      </w:r>
    </w:p>
    <w:p>
      <w:pPr>
        <w:pStyle w:val="Heading2"/>
        <w:spacing w:after="120" w:before="240"/>
      </w:pPr>
      <w:r>
        <w:rPr>
          <w:rFonts w:ascii="Arial" w:cs="Arial" w:eastAsia="Arial" w:hAnsi="Arial"/>
          <w:b/>
          <w:bCs/>
          <w:color w:val="2E75B6"/>
          <w:sz w:val="26"/>
          <w:szCs w:val="26"/>
        </w:rPr>
        <w:t xml:space="preserve">7.1 Immediate Actions (Low Cost, High Impact)</w:t>
      </w:r>
    </w:p>
    <w:p>
      <w:pPr>
        <w:spacing w:after="80" w:before="80"/>
        <w:jc w:val="both"/>
      </w:pPr>
      <w:r>
        <w:rPr>
          <w:rFonts w:ascii="Arial" w:cs="Arial" w:eastAsia="Arial" w:hAnsi="Arial"/>
          <w:sz w:val="22"/>
          <w:szCs w:val="22"/>
        </w:rPr>
        <w:t xml:space="preserve">These interventions can be implemented quickly without major funding increases: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Simplify application instructions and make them available in plain language at public institutions including libraries, community centers, and healthcare clinics</w:t>
      </w:r>
    </w:p>
    <w:p>
      <w:pPr>
        <w:pStyle w:val="ListParagraph"/>
        <w:numPr>
          <w:ilvl w:val="0"/>
          <w:numId w:val="2"/>
        </w:numPr>
        <w:spacing w:after="60" w:before="60"/>
      </w:pPr>
      <w:r>
        <w:rPr>
          <w:rFonts w:ascii="Arial" w:cs="Arial" w:eastAsia="Arial" w:hAnsi="Arial"/>
          <w:sz w:val="22"/>
          <w:szCs w:val="22"/>
        </w:rPr>
        <w:t xml:space="preserve">Establish free access to required medical records through SSA partnerships with state health departments, eliminating a key documentation barrier for low-income applicants</w:t>
      </w:r>
    </w:p>
    <w:p>
      <w:pPr>
        <w:pStyle w:val="ListParagraph"/>
        <w:numPr>
          <w:ilvl w:val="0"/>
          <w:numId w:val="2"/>
        </w:numPr>
        <w:spacing w:after="60" w:before="60"/>
      </w:pPr>
      <w:r>
        <w:rPr>
          <w:rFonts w:ascii="Arial" w:cs="Arial" w:eastAsia="Arial" w:hAnsi="Arial"/>
          <w:sz w:val="22"/>
          <w:szCs w:val="22"/>
        </w:rPr>
        <w:t xml:space="preserve">Create online step-by-step application guides with video walkthroughs available in multiple languages, targeted at states with below-average digital literacy rates</w:t>
      </w:r>
    </w:p>
    <w:p>
      <w:pPr>
        <w:pStyle w:val="ListParagraph"/>
        <w:numPr>
          <w:ilvl w:val="0"/>
          <w:numId w:val="2"/>
        </w:numPr>
        <w:spacing w:after="60" w:before="60"/>
      </w:pPr>
      <w:r>
        <w:rPr>
          <w:rFonts w:ascii="Arial" w:cs="Arial" w:eastAsia="Arial" w:hAnsi="Arial"/>
          <w:sz w:val="22"/>
          <w:szCs w:val="22"/>
        </w:rPr>
        <w:t xml:space="preserve">Develop a pre-application checklist that helps applicants identify documentation gaps before submitting, reducing denial rates due to incomplete applications</w:t>
      </w:r>
    </w:p>
    <w:p>
      <w:pPr>
        <w:pStyle w:val="ListParagraph"/>
        <w:numPr>
          <w:ilvl w:val="0"/>
          <w:numId w:val="2"/>
        </w:numPr>
        <w:spacing w:after="60" w:before="60"/>
      </w:pPr>
      <w:r>
        <w:rPr>
          <w:rFonts w:ascii="Arial" w:cs="Arial" w:eastAsia="Arial" w:hAnsi="Arial"/>
          <w:sz w:val="22"/>
          <w:szCs w:val="22"/>
        </w:rPr>
        <w:t xml:space="preserve">Deploy dedicated outreach to concurrent (SSDI + SSI) applicants who face the highest denial rates, given their particularly vulnerable financial situation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7.2 Medium-Term Investments (Moderate Cost)</w:t>
      </w:r>
    </w:p>
    <w:p>
      <w:pPr>
        <w:pStyle w:val="ListParagraph"/>
        <w:numPr>
          <w:ilvl w:val="0"/>
          <w:numId w:val="2"/>
        </w:numPr>
        <w:spacing w:after="60" w:before="60"/>
      </w:pPr>
      <w:r>
        <w:rPr>
          <w:rFonts w:ascii="Arial" w:cs="Arial" w:eastAsia="Arial" w:hAnsi="Arial"/>
          <w:sz w:val="22"/>
          <w:szCs w:val="22"/>
        </w:rPr>
        <w:t xml:space="preserve">Fund disability legal aid clinics in the 10 highest-poverty states, prioritizing Mississippi, Louisiana, New Mexico, and Arkansas where both poverty rates and denial rates are highest</w:t>
      </w:r>
    </w:p>
    <w:p>
      <w:pPr>
        <w:pStyle w:val="ListParagraph"/>
        <w:numPr>
          <w:ilvl w:val="0"/>
          <w:numId w:val="2"/>
        </w:numPr>
        <w:spacing w:after="60" w:before="60"/>
      </w:pPr>
      <w:r>
        <w:rPr>
          <w:rFonts w:ascii="Arial" w:cs="Arial" w:eastAsia="Arial" w:hAnsi="Arial"/>
          <w:sz w:val="22"/>
          <w:szCs w:val="22"/>
        </w:rPr>
        <w:t xml:space="preserve">Establish mobile medical evaluation units in rural, underserved areas to improve documentation access for applicants who cannot travel to urban medical centers</w:t>
      </w:r>
    </w:p>
    <w:p>
      <w:pPr>
        <w:pStyle w:val="ListParagraph"/>
        <w:numPr>
          <w:ilvl w:val="0"/>
          <w:numId w:val="2"/>
        </w:numPr>
        <w:spacing w:after="60" w:before="60"/>
      </w:pPr>
      <w:r>
        <w:rPr>
          <w:rFonts w:ascii="Arial" w:cs="Arial" w:eastAsia="Arial" w:hAnsi="Arial"/>
          <w:sz w:val="22"/>
          <w:szCs w:val="22"/>
        </w:rPr>
        <w:t xml:space="preserve">Pilot a case navigator program where trained community health workers assist applicants in gathering and organizing medical evidence, modeled on successful ACA enrollment navigator programs</w:t>
      </w:r>
    </w:p>
    <w:p>
      <w:pPr>
        <w:pStyle w:val="ListParagraph"/>
        <w:numPr>
          <w:ilvl w:val="0"/>
          <w:numId w:val="2"/>
        </w:numPr>
        <w:spacing w:after="60" w:before="60"/>
      </w:pPr>
      <w:r>
        <w:rPr>
          <w:rFonts w:ascii="Arial" w:cs="Arial" w:eastAsia="Arial" w:hAnsi="Arial"/>
          <w:sz w:val="22"/>
          <w:szCs w:val="22"/>
        </w:rPr>
        <w:t xml:space="preserve">Investigate and address the specific causes of Kansas’s 21.6-point decline in approval rates since 2020, which may reveal systemic policy or operational changes with lessons for other states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7.3 Long-Term Systemic Solutions</w:t>
      </w:r>
    </w:p>
    <w:p>
      <w:pPr>
        <w:pStyle w:val="ListParagraph"/>
        <w:numPr>
          <w:ilvl w:val="0"/>
          <w:numId w:val="2"/>
        </w:numPr>
        <w:spacing w:after="60" w:before="60"/>
      </w:pPr>
      <w:r>
        <w:rPr>
          <w:rFonts w:ascii="Arial" w:cs="Arial" w:eastAsia="Arial" w:hAnsi="Arial"/>
          <w:sz w:val="22"/>
          <w:szCs w:val="22"/>
        </w:rPr>
        <w:t xml:space="preserve">Expand disability-accessible employment programs to reduce the need for disability benefits as a primary income source, particularly in high-poverty Southern states</w:t>
      </w:r>
    </w:p>
    <w:p>
      <w:pPr>
        <w:pStyle w:val="ListParagraph"/>
        <w:numPr>
          <w:ilvl w:val="0"/>
          <w:numId w:val="2"/>
        </w:numPr>
        <w:spacing w:after="60" w:before="60"/>
      </w:pPr>
      <w:r>
        <w:rPr>
          <w:rFonts w:ascii="Arial" w:cs="Arial" w:eastAsia="Arial" w:hAnsi="Arial"/>
          <w:sz w:val="22"/>
          <w:szCs w:val="22"/>
        </w:rPr>
        <w:t xml:space="preserve">Integrate mental health support into disability application services, as applicants in poverty often experience compounding trauma that affects their ability to navigate complex bureaucratic systems</w:t>
      </w:r>
    </w:p>
    <w:p>
      <w:pPr>
        <w:pStyle w:val="ListParagraph"/>
        <w:numPr>
          <w:ilvl w:val="0"/>
          <w:numId w:val="2"/>
        </w:numPr>
        <w:spacing w:after="60" w:before="60"/>
      </w:pPr>
      <w:r>
        <w:rPr>
          <w:rFonts w:ascii="Arial" w:cs="Arial" w:eastAsia="Arial" w:hAnsi="Arial"/>
          <w:sz w:val="22"/>
          <w:szCs w:val="22"/>
        </w:rPr>
        <w:t xml:space="preserve">Advocate for Medicaid expansion in remaining holdout states to improve healthcare access and the quality of medical documentation available to disability applicants</w:t>
      </w:r>
    </w:p>
    <w:p>
      <w:pPr>
        <w:pStyle w:val="ListParagraph"/>
        <w:numPr>
          <w:ilvl w:val="0"/>
          <w:numId w:val="2"/>
        </w:numPr>
        <w:spacing w:after="60" w:before="60"/>
      </w:pPr>
      <w:r>
        <w:rPr>
          <w:rFonts w:ascii="Arial" w:cs="Arial" w:eastAsia="Arial" w:hAnsi="Arial"/>
          <w:sz w:val="22"/>
          <w:szCs w:val="22"/>
        </w:rPr>
        <w:t xml:space="preserve">Commission a detailed operational audit of state DDS agencies with the lowest approval rates to identify whether staffing, training, or resource differences explain underperformance beyond socioeconomic factors</w:t>
      </w:r>
    </w:p>
    <w:p>
      <w:pPr>
        <w:pStyle w:val="ListParagraph"/>
        <w:numPr>
          <w:ilvl w:val="0"/>
          <w:numId w:val="2"/>
        </w:numPr>
        <w:spacing w:after="60" w:before="60"/>
      </w:pPr>
      <w:r>
        <w:rPr>
          <w:rFonts w:ascii="Arial" w:cs="Arial" w:eastAsia="Arial" w:hAnsi="Arial"/>
          <w:sz w:val="22"/>
          <w:szCs w:val="22"/>
        </w:rPr>
        <w:t xml:space="preserve">Establish a national monitoring system for the approval rate gap, with automatic review triggered when any state falls more than 15 percentage points below the national average</w:t>
      </w:r>
    </w:p>
    <w:p>
      <w:pPr>
        <w:spacing w:after="120" w:before="120"/>
      </w:pPr>
      <w:r>
        <w:t xml:space="preserve"/>
      </w:r>
    </w:p>
    <w:p>
      <w:pPr>
        <w:pStyle w:val="Heading1"/>
        <w:pBdr>
          <w:bottom w:val="single" w:color="2E75B6" w:sz="4" w:space="4"/>
        </w:pBdr>
        <w:spacing w:after="180" w:before="360"/>
      </w:pPr>
      <w:r>
        <w:rPr>
          <w:rFonts w:ascii="Arial" w:cs="Arial" w:eastAsia="Arial" w:hAnsi="Arial"/>
          <w:b/>
          <w:bCs/>
          <w:sz w:val="32"/>
          <w:szCs w:val="32"/>
        </w:rPr>
        <w:t xml:space="preserve">8. Limitations</w:t>
      </w:r>
    </w:p>
    <w:p>
      <w:pPr>
        <w:spacing w:after="80" w:before="80"/>
        <w:jc w:val="both"/>
      </w:pPr>
      <w:r>
        <w:rPr>
          <w:rFonts w:ascii="Arial" w:cs="Arial" w:eastAsia="Arial" w:hAnsi="Arial"/>
          <w:sz w:val="22"/>
          <w:szCs w:val="22"/>
        </w:rPr>
        <w:t xml:space="preserve">This analysis has several important limitations that should inform interpretation of its findings: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Correlation does not imply causation. The strong relationship between poverty rate and approval rate is consistent with the documentation quality hypothesis but does not definitively prove it. Other unmeasured variables may drive both poverty and low approval rates simultaneously.</w:t>
      </w:r>
    </w:p>
    <w:p>
      <w:pPr>
        <w:pStyle w:val="ListParagraph"/>
        <w:numPr>
          <w:ilvl w:val="0"/>
          <w:numId w:val="2"/>
        </w:numPr>
        <w:spacing w:after="60" w:before="60"/>
      </w:pPr>
      <w:r>
        <w:rPr>
          <w:rFonts w:ascii="Arial" w:cs="Arial" w:eastAsia="Arial" w:hAnsi="Arial"/>
          <w:sz w:val="22"/>
          <w:szCs w:val="22"/>
        </w:rPr>
        <w:t xml:space="preserve">External variables are from 2023 while SSA data spans 2000–2026. The poverty rates, physician counts, and industry data used represent a single point in time and may not accurately reflect conditions in earlier periods of the dataset.</w:t>
      </w:r>
    </w:p>
    <w:p>
      <w:pPr>
        <w:pStyle w:val="ListParagraph"/>
        <w:numPr>
          <w:ilvl w:val="0"/>
          <w:numId w:val="2"/>
        </w:numPr>
        <w:spacing w:after="60" w:before="60"/>
      </w:pPr>
      <w:r>
        <w:rPr>
          <w:rFonts w:ascii="Arial" w:cs="Arial" w:eastAsia="Arial" w:hAnsi="Arial"/>
          <w:sz w:val="22"/>
          <w:szCs w:val="22"/>
        </w:rPr>
        <w:t xml:space="preserve">Attorney density data was unavailable. The H6 hypothesis intended to test disability attorney representation but used industry composition as a proxy, which is an imperfect substitute. Obtaining attorney density data would significantly strengthen the analysis.</w:t>
      </w:r>
    </w:p>
    <w:p>
      <w:pPr>
        <w:pStyle w:val="ListParagraph"/>
        <w:numPr>
          <w:ilvl w:val="0"/>
          <w:numId w:val="2"/>
        </w:numPr>
        <w:spacing w:after="60" w:before="60"/>
      </w:pPr>
      <w:r>
        <w:rPr>
          <w:rFonts w:ascii="Arial" w:cs="Arial" w:eastAsia="Arial" w:hAnsi="Arial"/>
          <w:sz w:val="22"/>
          <w:szCs w:val="22"/>
        </w:rPr>
        <w:t xml:space="preserve">State-level analysis masks sub-state variation. County-level analysis would likely reveal even more dramatic disparities, particularly between urban and rural areas within states.</w:t>
      </w:r>
    </w:p>
    <w:p>
      <w:pPr>
        <w:pStyle w:val="ListParagraph"/>
        <w:numPr>
          <w:ilvl w:val="0"/>
          <w:numId w:val="2"/>
        </w:numPr>
        <w:spacing w:after="60" w:before="60"/>
      </w:pPr>
      <w:r>
        <w:rPr>
          <w:rFonts w:ascii="Arial" w:cs="Arial" w:eastAsia="Arial" w:hAnsi="Arial"/>
          <w:sz w:val="22"/>
          <w:szCs w:val="22"/>
        </w:rPr>
        <w:t xml:space="preserve">The SSA dataset does not include individual applicant characteristics such as age, education, diagnosis type, or representation status, which are important confounding variables.</w:t>
      </w:r>
    </w:p>
    <w:p>
      <w:pPr>
        <w:pStyle w:val="ListParagraph"/>
        <w:numPr>
          <w:ilvl w:val="0"/>
          <w:numId w:val="2"/>
        </w:numPr>
        <w:spacing w:after="60" w:before="60"/>
      </w:pPr>
      <w:r>
        <w:rPr>
          <w:rFonts w:ascii="Arial" w:cs="Arial" w:eastAsia="Arial" w:hAnsi="Arial"/>
          <w:sz w:val="22"/>
          <w:szCs w:val="22"/>
        </w:rPr>
        <w:t xml:space="preserve">The 2.4-point partisan gap finding does not rule out political effects entirely — it may be that political effects are mediated through socioeconomic conditions rather than operating directly on DDS decision-making.</w:t>
      </w:r>
    </w:p>
    <w:p>
      <w:pPr>
        <w:pStyle w:val="ListParagraph"/>
        <w:numPr>
          <w:ilvl w:val="0"/>
          <w:numId w:val="2"/>
        </w:numPr>
        <w:spacing w:after="60" w:before="60"/>
      </w:pPr>
      <w:r>
        <w:rPr>
          <w:rFonts w:ascii="Arial" w:cs="Arial" w:eastAsia="Arial" w:hAnsi="Arial"/>
          <w:sz w:val="22"/>
          <w:szCs w:val="22"/>
        </w:rPr>
        <w:t xml:space="preserve">Early 2026 data showing a reversal of backlog improvement is based on only three months of data and may reflect seasonal variation rather than a structural change.</w:t>
      </w:r>
    </w:p>
    <w:p>
      <w:pPr>
        <w:spacing w:after="120" w:before="120"/>
      </w:pPr>
      <w:r>
        <w:t xml:space="preserve"/>
      </w:r>
    </w:p>
    <w:p>
      <w:pPr>
        <w:pBdr>
          <w:top w:val="single" w:color="2E75B6" w:sz="4" w:space="4"/>
        </w:pBdr>
        <w:spacing w:after="0" w:before="480"/>
        <w:jc w:val="center"/>
      </w:pPr>
      <w:r>
        <w:rPr>
          <w:rFonts w:ascii="Arial" w:cs="Arial" w:eastAsia="Arial" w:hAnsi="Arial"/>
          <w:i/>
          <w:iCs/>
          <w:color w:val="888888"/>
          <w:sz w:val="18"/>
          <w:szCs w:val="18"/>
        </w:rPr>
        <w:t xml:space="preserve">End of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SSA Disability Claims Case Study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2026-05-31T04:06:51.131Z</dcterms:created>
  <dcterms:modified xsi:type="dcterms:W3CDTF">2026-05-31T04:06:51.131Z</dcterms:modified>
</cp:coreProperties>
</file>

<file path=docProps/custom.xml><?xml version="1.0" encoding="utf-8"?>
<Properties xmlns="http://schemas.openxmlformats.org/officeDocument/2006/custom-properties" xmlns:vt="http://schemas.openxmlformats.org/officeDocument/2006/docPropsVTypes"/>
</file>