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Segoe UI" w:hAnsi="Segoe UI"/>
          <w:b/>
          <w:color w:val="D6265A"/>
          <w:sz w:val="44"/>
        </w:rPr>
        <w:t>BONE SIP: Clinical Architecture, AI Engine &amp; Fall Risk Framework</w:t>
      </w:r>
    </w:p>
    <w:p>
      <w:pPr>
        <w:spacing w:before="0" w:after="240"/>
      </w:pPr>
      <w:r>
        <w:rPr>
          <w:rFonts w:ascii="Segoe UI" w:hAnsi="Segoe UI"/>
          <w:i/>
          <w:color w:val="64646E"/>
          <w:sz w:val="23"/>
        </w:rPr>
        <w:t>A Complete Technical and Clinical Guide to Nutrition Scaffolding, Generative AI Personalization, and Evidence-Based Fall Prevention</w:t>
      </w:r>
    </w:p>
    <w:tbl>
      <w:tblPr>
        <w:tblW w:type="auto" w:w="0"/>
        <w:jc w:val="center"/>
        <w:tblLayout w:type="fixed"/>
        <w:tblLook w:firstColumn="1" w:firstRow="1" w:lastColumn="0" w:lastRow="0" w:noHBand="0" w:noVBand="1" w:val="04A0"/>
      </w:tblPr>
      <w:tblGrid>
        <w:gridCol w:w="10080"/>
      </w:tblGrid>
      <w:tr>
        <w:tc>
          <w:tcPr>
            <w:tcW w:type="dxa" w:w="10080"/>
            <w:shd w:fill="F9F5F7"/>
            <w:tcMar>
              <w:top w:w="140" w:type="dxa"/>
              <w:bottom w:w="140" w:type="dxa"/>
              <w:left w:w="180" w:type="dxa"/>
              <w:right w:w="180" w:type="dxa"/>
            </w:tcMar>
            <w:tcBorders>
              <w:top w:val="none"/>
              <w:left w:val="single" w:sz="24" w:space="0" w:color="D6265A"/>
              <w:bottom w:val="none"/>
              <w:right w:val="none"/>
            </w:tcBorders>
          </w:tcPr>
          <w:p>
            <w:pPr>
              <w:spacing w:before="0" w:after="0" w:line="276" w:lineRule="auto"/>
            </w:pPr>
            <w:r>
              <w:rPr>
                <w:rFonts w:ascii="Segoe UI" w:hAnsi="Segoe UI"/>
                <w:b/>
                <w:color w:val="D6265A"/>
                <w:sz w:val="20"/>
              </w:rPr>
              <w:t xml:space="preserve">Executive Overview: </w:t>
            </w:r>
            <w:r>
              <w:rPr>
                <w:rFonts w:ascii="Segoe UI" w:hAnsi="Segoe UI"/>
                <w:color w:val="1E1E24"/>
                <w:sz w:val="20"/>
              </w:rPr>
              <w:t>This document details the medical rationale, runtime architectures, and data structures powering BONE SIP ("Invest in Bones. Invest in Life."). It explains the three pillars of our clinical engineering: the Ojas AI knowledge feed, the daily 3-2-1 Calcium Scaffolding protocol, and the CDC STEADI-based fall prevention framework.</w:t>
            </w:r>
          </w:p>
        </w:tc>
      </w:tr>
    </w:tbl>
    <w:p>
      <w:pPr>
        <w:spacing w:before="0" w:after="120"/>
      </w:pPr>
    </w:p>
    <w:p>
      <w:pPr>
        <w:keepNext/>
        <w:spacing w:before="320" w:after="120"/>
      </w:pPr>
      <w:r>
        <w:rPr>
          <w:rFonts w:ascii="Segoe UI" w:hAnsi="Segoe UI"/>
          <w:b/>
          <w:color w:val="D6265A"/>
          <w:sz w:val="32"/>
        </w:rPr>
        <w:t>1. What Content We Feed into the AI Chatbot (Ojas)</w:t>
      </w:r>
    </w:p>
    <w:p>
      <w:pPr>
        <w:spacing w:before="0" w:after="120" w:line="276" w:lineRule="auto"/>
      </w:pPr>
      <w:r>
        <w:rPr>
          <w:rFonts w:ascii="Segoe UI" w:hAnsi="Segoe UI"/>
          <w:color w:val="1E1E24"/>
          <w:sz w:val="21"/>
        </w:rPr>
        <w:t>Our AI assistant is named Ojas (the Sanskrit and Ayurvedic term for inner strength, vitality, and resilience). When an older adult interacts with Ojas, our backend server (server/assistant.js) does not simply forward raw chat history. Instead, it pairs a comprehensive, cached medical knowledge base with a live, real-time per-user clinical context snapshot.</w:t>
      </w:r>
    </w:p>
    <w:p>
      <w:pPr>
        <w:keepNext/>
        <w:spacing w:before="240" w:after="80"/>
      </w:pPr>
      <w:r>
        <w:rPr>
          <w:rFonts w:ascii="Segoe UI" w:hAnsi="Segoe UI"/>
          <w:b/>
          <w:color w:val="2A2540"/>
          <w:sz w:val="26"/>
        </w:rPr>
        <w:t>A. The Static Domain Knowledge Base (buildKnowledgePrompt)</w:t>
      </w:r>
    </w:p>
    <w:p>
      <w:pPr>
        <w:spacing w:before="0" w:after="120" w:line="276" w:lineRule="auto"/>
      </w:pPr>
      <w:r>
        <w:rPr>
          <w:rFonts w:ascii="Segoe UI" w:hAnsi="Segoe UI"/>
          <w:color w:val="1E1E24"/>
          <w:sz w:val="21"/>
        </w:rPr>
        <w:t>The static knowledge prompt acts as Ojas's foundational medical training and operational ruleset. Because this data remains identical across all sessions, it is cached at the LLM edge to ensure zero latency and prevent unnecessary token consumption.</w:t>
      </w:r>
    </w:p>
    <w:p>
      <w:pPr>
        <w:pStyle w:val="ListBullet"/>
        <w:spacing w:before="0" w:after="60" w:line="276" w:lineRule="auto"/>
      </w:pPr>
      <w:r>
        <w:rPr>
          <w:rFonts w:ascii="Segoe UI" w:hAnsi="Segoe UI"/>
          <w:b/>
          <w:color w:val="2A2540"/>
          <w:sz w:val="21"/>
        </w:rPr>
        <w:t xml:space="preserve">Medical Guardrails: </w:t>
      </w:r>
      <w:r>
        <w:rPr>
          <w:rFonts w:ascii="Segoe UI" w:hAnsi="Segoe UI"/>
          <w:color w:val="1E1E24"/>
          <w:sz w:val="21"/>
        </w:rPr>
        <w:t>Ojas explicitly introduces itself as an educational health companion, not a licensed medical practitioner. It is programmed to never adjust prescribed medications or recommend stopping doctor-ordered treatments.</w:t>
      </w:r>
    </w:p>
    <w:p>
      <w:pPr>
        <w:pStyle w:val="ListBullet"/>
        <w:spacing w:before="0" w:after="60" w:line="276" w:lineRule="auto"/>
      </w:pPr>
      <w:r>
        <w:rPr>
          <w:rFonts w:ascii="Segoe UI" w:hAnsi="Segoe UI"/>
          <w:b/>
          <w:color w:val="2A2540"/>
          <w:sz w:val="21"/>
        </w:rPr>
        <w:t xml:space="preserve">Emergency Red Flag Triage: </w:t>
      </w:r>
      <w:r>
        <w:rPr>
          <w:rFonts w:ascii="Segoe UI" w:hAnsi="Segoe UI"/>
          <w:color w:val="1E1E24"/>
          <w:sz w:val="21"/>
        </w:rPr>
        <w:t>If a user reports an acute event (such as a sudden fall with severe hip or back pain, inability to bear weight on a leg, sudden dizziness, or loss of consciousness), Ojas immediately halts general coaching and directs the user to call emergency services (112 / 108 in India).</w:t>
      </w:r>
    </w:p>
    <w:p>
      <w:pPr>
        <w:pStyle w:val="ListBullet"/>
        <w:spacing w:before="0" w:after="60" w:line="276" w:lineRule="auto"/>
      </w:pPr>
      <w:r>
        <w:rPr>
          <w:rFonts w:ascii="Segoe UI" w:hAnsi="Segoe UI"/>
          <w:b/>
          <w:color w:val="2A2540"/>
          <w:sz w:val="21"/>
        </w:rPr>
        <w:t xml:space="preserve">Osteoporosis Precautions: </w:t>
      </w:r>
      <w:r>
        <w:rPr>
          <w:rFonts w:ascii="Segoe UI" w:hAnsi="Segoe UI"/>
          <w:color w:val="1E1E24"/>
          <w:sz w:val="21"/>
        </w:rPr>
        <w:t>For individuals with osteoporosis or past low-trauma fractures, Ojas flags contraindicated movements—specifically avoiding loaded spinal flexion (such as traditional sit-ups or deep toe-touching), sudden spinal twisting, and high-impact jumping.</w:t>
      </w:r>
    </w:p>
    <w:p>
      <w:pPr>
        <w:pStyle w:val="ListBullet"/>
        <w:spacing w:before="0" w:after="60" w:line="276" w:lineRule="auto"/>
      </w:pPr>
      <w:r>
        <w:rPr>
          <w:rFonts w:ascii="Segoe UI" w:hAnsi="Segoe UI"/>
          <w:b/>
          <w:color w:val="2A2540"/>
          <w:sz w:val="21"/>
        </w:rPr>
        <w:t xml:space="preserve">Filmed Exercise Library: </w:t>
      </w:r>
      <w:r>
        <w:rPr>
          <w:rFonts w:ascii="Segoe UI" w:hAnsi="Segoe UI"/>
          <w:color w:val="1E1E24"/>
          <w:sz w:val="21"/>
        </w:rPr>
        <w:t>Ojas has complete knowledge of all 10 filmed exercises across Strength (Chair Sit-to-Stand, Heel Raises), Balance (Single-Leg Balance, Tandem Walk), and Posture (Seated Band Pull-Apart). It explains movement steps, target bones (femoral neck, lumbar spine, wrist), and support techniques.</w:t>
      </w:r>
    </w:p>
    <w:p>
      <w:pPr>
        <w:pStyle w:val="ListBullet"/>
        <w:spacing w:before="0" w:after="60" w:line="276" w:lineRule="auto"/>
      </w:pPr>
      <w:r>
        <w:rPr>
          <w:rFonts w:ascii="Segoe UI" w:hAnsi="Segoe UI"/>
          <w:b/>
          <w:color w:val="2A2540"/>
          <w:sz w:val="21"/>
        </w:rPr>
        <w:t xml:space="preserve">Indian Regional Food Database: </w:t>
      </w:r>
      <w:r>
        <w:rPr>
          <w:rFonts w:ascii="Segoe UI" w:hAnsi="Segoe UI"/>
          <w:color w:val="1E1E24"/>
          <w:sz w:val="21"/>
        </w:rPr>
        <w:t>Contains over 100 authentic regional dishes spanning North, South, West, East, and Continental cuisines. Each entry includes precise elemental calcium (mg) and protein (g) per everyday Indian measure (katori, roti, glass, tablespoon). It highlights staples like Ragi (~340 mg Ca/100g), unhulled roasted sesame/Til (~1,400 mg Ca/100g), Moringa leaves (~440 mg Ca/100g), Poppy seeds/Khus Khus (~1,400 mg Ca/100g), and fresh curd (~300 mg/cup).</w:t>
      </w:r>
    </w:p>
    <w:p>
      <w:pPr>
        <w:pStyle w:val="ListBullet"/>
        <w:spacing w:before="0" w:after="60" w:line="276" w:lineRule="auto"/>
      </w:pPr>
      <w:r>
        <w:rPr>
          <w:rFonts w:ascii="Segoe UI" w:hAnsi="Segoe UI"/>
          <w:b/>
          <w:color w:val="2A2540"/>
          <w:sz w:val="21"/>
        </w:rPr>
        <w:t xml:space="preserve">Biochemical Absorption Rules: </w:t>
      </w:r>
      <w:r>
        <w:rPr>
          <w:rFonts w:ascii="Segoe UI" w:hAnsi="Segoe UI"/>
          <w:color w:val="1E1E24"/>
          <w:sz w:val="21"/>
        </w:rPr>
        <w:t>Ojas understands promoters (Vitamin D3, Vitamin K2-MK7, Magnesium, Vitamin C) versus inhibitors (phytates, oxalates, excessive tannins, and sodium).</w:t>
      </w:r>
    </w:p>
    <w:p>
      <w:pPr>
        <w:keepNext/>
        <w:spacing w:before="160" w:after="40"/>
      </w:pPr>
      <w:r>
        <w:rPr>
          <w:rFonts w:ascii="Segoe UI" w:hAnsi="Segoe UI"/>
          <w:b/>
          <w:color w:val="2A2540"/>
          <w:sz w:val="22"/>
        </w:rPr>
        <w:t>Personalized Metabolic Disease Rules</w:t>
      </w:r>
    </w:p>
    <w:p>
      <w:pPr>
        <w:pStyle w:val="ListBullet"/>
        <w:spacing w:before="0" w:after="60" w:line="276" w:lineRule="auto"/>
      </w:pPr>
      <w:r>
        <w:rPr>
          <w:rFonts w:ascii="Segoe UI" w:hAnsi="Segoe UI"/>
          <w:b/>
          <w:color w:val="2A2540"/>
          <w:sz w:val="21"/>
        </w:rPr>
        <w:t xml:space="preserve">Diabetes: </w:t>
      </w:r>
      <w:r>
        <w:rPr>
          <w:rFonts w:ascii="Segoe UI" w:hAnsi="Segoe UI"/>
          <w:color w:val="1E1E24"/>
          <w:sz w:val="21"/>
        </w:rPr>
        <w:t>Prioritizes low-glycaemic millets (Ragi, Jowar, Bajra) and legumes; minimizes Advanced Glycation End-products (AGEs) that make bone collagen brittle.</w:t>
      </w:r>
    </w:p>
    <w:p>
      <w:pPr>
        <w:pStyle w:val="ListBullet"/>
        <w:spacing w:before="0" w:after="60" w:line="276" w:lineRule="auto"/>
      </w:pPr>
      <w:r>
        <w:rPr>
          <w:rFonts w:ascii="Segoe UI" w:hAnsi="Segoe UI"/>
          <w:b/>
          <w:color w:val="2A2540"/>
          <w:sz w:val="21"/>
        </w:rPr>
        <w:t xml:space="preserve">Hypertension: </w:t>
      </w:r>
      <w:r>
        <w:rPr>
          <w:rFonts w:ascii="Segoe UI" w:hAnsi="Segoe UI"/>
          <w:color w:val="1E1E24"/>
          <w:sz w:val="21"/>
        </w:rPr>
        <w:t>Limits sodium to &lt; 2,000 mg/day (DASH principles) because sodium directly competes with calcium in the kidneys, causing urinary calcium dumping (hypercalciuria).</w:t>
      </w:r>
    </w:p>
    <w:p>
      <w:pPr>
        <w:pStyle w:val="ListBullet"/>
        <w:spacing w:before="0" w:after="60" w:line="276" w:lineRule="auto"/>
      </w:pPr>
      <w:r>
        <w:rPr>
          <w:rFonts w:ascii="Segoe UI" w:hAnsi="Segoe UI"/>
          <w:b/>
          <w:color w:val="2A2540"/>
          <w:sz w:val="21"/>
        </w:rPr>
        <w:t xml:space="preserve">Obesity / Overweight: </w:t>
      </w:r>
      <w:r>
        <w:rPr>
          <w:rFonts w:ascii="Segoe UI" w:hAnsi="Segoe UI"/>
          <w:color w:val="1E1E24"/>
          <w:sz w:val="21"/>
        </w:rPr>
        <w:t>Prescribes steady protein (1.0–1.2 g/kg body weight) from high-satiety, lean sources (sprouts, tofu, egg whites, boiled chana) to maintain skeletal muscle while managing calories.</w:t>
      </w:r>
    </w:p>
    <w:p>
      <w:pPr>
        <w:pStyle w:val="ListBullet"/>
        <w:spacing w:before="0" w:after="60" w:line="276" w:lineRule="auto"/>
      </w:pPr>
      <w:r>
        <w:rPr>
          <w:rFonts w:ascii="Segoe UI" w:hAnsi="Segoe UI"/>
          <w:b/>
          <w:color w:val="2A2540"/>
          <w:sz w:val="21"/>
        </w:rPr>
        <w:t xml:space="preserve">High Cholesterol (Dyslipidemia): </w:t>
      </w:r>
      <w:r>
        <w:rPr>
          <w:rFonts w:ascii="Segoe UI" w:hAnsi="Segoe UI"/>
          <w:color w:val="1E1E24"/>
          <w:sz w:val="21"/>
        </w:rPr>
        <w:t>Prioritizes soluble fiber (methi seeds, oats) and Omega-3 fatty acids (flaxseed, walnuts, fish) to dampen inflammatory cytokines that accelerate bone resorption.</w:t>
      </w:r>
    </w:p>
    <w:p>
      <w:pPr>
        <w:pStyle w:val="ListBullet"/>
        <w:spacing w:before="0" w:after="60" w:line="276" w:lineRule="auto"/>
      </w:pPr>
      <w:r>
        <w:rPr>
          <w:rFonts w:ascii="Segoe UI" w:hAnsi="Segoe UI"/>
          <w:b/>
          <w:color w:val="2A2540"/>
          <w:sz w:val="21"/>
        </w:rPr>
        <w:t xml:space="preserve">Thyroid Disorders: </w:t>
      </w:r>
      <w:r>
        <w:rPr>
          <w:rFonts w:ascii="Segoe UI" w:hAnsi="Segoe UI"/>
          <w:color w:val="1E1E24"/>
          <w:sz w:val="21"/>
        </w:rPr>
        <w:t>Strictly enforces the 4-Hour Calcium Spacing Rule. Thyroid hormone (Levothyroxine) must be taken first thing in the morning with plain water on an empty stomach, and any calcium-rich food, milk, curd, or supplement must wait at least 4 hours.</w:t>
      </w:r>
    </w:p>
    <w:p>
      <w:pPr>
        <w:pStyle w:val="ListBullet"/>
        <w:spacing w:before="0" w:after="60" w:line="276" w:lineRule="auto"/>
      </w:pPr>
      <w:r>
        <w:rPr>
          <w:rFonts w:ascii="Segoe UI" w:hAnsi="Segoe UI"/>
          <w:b/>
          <w:color w:val="2A2540"/>
          <w:sz w:val="21"/>
        </w:rPr>
        <w:t xml:space="preserve">Lactose Intolerance: </w:t>
      </w:r>
      <w:r>
        <w:rPr>
          <w:rFonts w:ascii="Segoe UI" w:hAnsi="Segoe UI"/>
          <w:color w:val="1E1E24"/>
          <w:sz w:val="21"/>
        </w:rPr>
        <w:t>Replaces conventional dairy with fortified plant milks, firm tofu, sesame chutneys, ragi rotis, and dark leafy greens.</w:t>
      </w:r>
    </w:p>
    <w:p>
      <w:pPr>
        <w:pStyle w:val="ListBullet"/>
        <w:spacing w:before="0" w:after="60" w:line="276" w:lineRule="auto"/>
      </w:pPr>
      <w:r>
        <w:rPr>
          <w:rFonts w:ascii="Segoe UI" w:hAnsi="Segoe UI"/>
          <w:b/>
          <w:color w:val="2A2540"/>
          <w:sz w:val="21"/>
        </w:rPr>
        <w:t xml:space="preserve">Nut Allergies: </w:t>
      </w:r>
      <w:r>
        <w:rPr>
          <w:rFonts w:ascii="Segoe UI" w:hAnsi="Segoe UI"/>
          <w:color w:val="1E1E24"/>
          <w:sz w:val="21"/>
        </w:rPr>
        <w:t>Excludes peanuts and tree nuts; substitutes with pumpkin seeds, sunflower seeds, and roasted chana.</w:t>
      </w:r>
    </w:p>
    <w:p>
      <w:pPr>
        <w:keepNext/>
        <w:spacing w:before="240" w:after="80"/>
      </w:pPr>
      <w:r>
        <w:rPr>
          <w:rFonts w:ascii="Segoe UI" w:hAnsi="Segoe UI"/>
          <w:b/>
          <w:color w:val="2A2540"/>
          <w:sz w:val="26"/>
        </w:rPr>
        <w:t>B. The Dynamic Real-Time User Snapshot (buildSnapshot)</w:t>
      </w:r>
    </w:p>
    <w:p>
      <w:pPr>
        <w:spacing w:before="0" w:after="120" w:line="276" w:lineRule="auto"/>
      </w:pPr>
      <w:r>
        <w:rPr>
          <w:rFonts w:ascii="Segoe UI" w:hAnsi="Segoe UI"/>
          <w:color w:val="1E1E24"/>
          <w:sz w:val="21"/>
        </w:rPr>
        <w:t>With every user message turn, the app client serializes the user's active state into a lightweight snapshot. This gives Ojas live context without needing complex multi-turn database lookups:</w:t>
      </w:r>
    </w:p>
    <w:tbl>
      <w:tblPr>
        <w:tblW w:type="auto" w:w="0"/>
        <w:jc w:val="center"/>
        <w:tblLayout w:type="fixed"/>
        <w:tblLook w:firstColumn="1" w:firstRow="1" w:lastColumn="0" w:lastRow="0" w:noHBand="0" w:noVBand="1" w:val="04A0"/>
      </w:tblPr>
      <w:tblGrid>
        <w:gridCol w:w="2880"/>
        <w:gridCol w:w="3168"/>
        <w:gridCol w:w="4032"/>
      </w:tblGrid>
      <w:tr>
        <w:tc>
          <w:tcPr>
            <w:tcW w:type="dxa" w:w="3360"/>
            <w:shd w:fill="2A2540"/>
            <w:tcMar>
              <w:top w:w="140" w:type="dxa"/>
              <w:bottom w:w="140" w:type="dxa"/>
              <w:left w:w="160" w:type="dxa"/>
              <w:right w:w="160" w:type="dxa"/>
            </w:tcMar>
          </w:tcPr>
          <w:p>
            <w:r>
              <w:rPr>
                <w:b/>
                <w:color w:val="FFFFFF"/>
                <w:sz w:val="19"/>
              </w:rPr>
              <w:t>Snapshot Field</w:t>
            </w:r>
          </w:p>
        </w:tc>
        <w:tc>
          <w:tcPr>
            <w:tcW w:type="dxa" w:w="3360"/>
            <w:shd w:fill="2A2540"/>
            <w:tcMar>
              <w:top w:w="140" w:type="dxa"/>
              <w:bottom w:w="140" w:type="dxa"/>
              <w:left w:w="160" w:type="dxa"/>
              <w:right w:w="160" w:type="dxa"/>
            </w:tcMar>
          </w:tcPr>
          <w:p>
            <w:r>
              <w:rPr>
                <w:b/>
                <w:color w:val="FFFFFF"/>
                <w:sz w:val="19"/>
              </w:rPr>
              <w:t>Example Value</w:t>
            </w:r>
          </w:p>
        </w:tc>
        <w:tc>
          <w:tcPr>
            <w:tcW w:type="dxa" w:w="3360"/>
            <w:shd w:fill="2A2540"/>
            <w:tcMar>
              <w:top w:w="140" w:type="dxa"/>
              <w:bottom w:w="140" w:type="dxa"/>
              <w:left w:w="160" w:type="dxa"/>
              <w:right w:w="160" w:type="dxa"/>
            </w:tcMar>
          </w:tcPr>
          <w:p>
            <w:r>
              <w:rPr>
                <w:b/>
                <w:color w:val="FFFFFF"/>
                <w:sz w:val="19"/>
              </w:rPr>
              <w:t>Clinical &amp; Conversational Purpose</w:t>
            </w:r>
          </w:p>
        </w:tc>
      </w:tr>
      <w:tr>
        <w:tc>
          <w:tcPr>
            <w:tcW w:type="dxa" w:w="2880"/>
            <w:shd w:fill="FFFFFF"/>
            <w:tcMar>
              <w:top w:w="100" w:type="dxa"/>
              <w:bottom w:w="100" w:type="dxa"/>
              <w:left w:w="140" w:type="dxa"/>
              <w:right w:w="140" w:type="dxa"/>
            </w:tcMar>
          </w:tcPr>
          <w:p>
            <w:r>
              <w:rPr>
                <w:rFonts w:ascii="Segoe UI" w:hAnsi="Segoe UI"/>
                <w:b/>
                <w:color w:val="2A2540"/>
                <w:sz w:val="18"/>
              </w:rPr>
              <w:t>Demographics &amp; Vitals</w:t>
            </w:r>
          </w:p>
        </w:tc>
        <w:tc>
          <w:tcPr>
            <w:tcW w:type="dxa" w:w="3168"/>
            <w:shd w:fill="FFFFFF"/>
            <w:tcMar>
              <w:top w:w="100" w:type="dxa"/>
              <w:bottom w:w="100" w:type="dxa"/>
              <w:left w:w="140" w:type="dxa"/>
              <w:right w:w="140" w:type="dxa"/>
            </w:tcMar>
          </w:tcPr>
          <w:p>
            <w:r>
              <w:rPr>
                <w:rFonts w:ascii="Segoe UI" w:hAnsi="Segoe UI"/>
                <w:sz w:val="18"/>
              </w:rPr>
              <w:t>Meera, 58 yrs, 158 cm, 62 kg, BMI 24.8</w:t>
            </w:r>
          </w:p>
        </w:tc>
        <w:tc>
          <w:tcPr>
            <w:tcW w:type="dxa" w:w="4032"/>
            <w:shd w:fill="FFFFFF"/>
            <w:tcMar>
              <w:top w:w="100" w:type="dxa"/>
              <w:bottom w:w="100" w:type="dxa"/>
              <w:left w:w="140" w:type="dxa"/>
              <w:right w:w="140" w:type="dxa"/>
            </w:tcMar>
          </w:tcPr>
          <w:p>
            <w:r>
              <w:rPr>
                <w:rFonts w:ascii="Segoe UI" w:hAnsi="Segoe UI"/>
                <w:sz w:val="18"/>
              </w:rPr>
              <w:t>Allows Ojas to compute personalized protein targets and adjust age-appropriate mobility guidance.</w:t>
            </w:r>
          </w:p>
        </w:tc>
      </w:tr>
      <w:tr>
        <w:tc>
          <w:tcPr>
            <w:tcW w:type="dxa" w:w="2880"/>
            <w:shd w:fill="F8F9FA"/>
            <w:tcMar>
              <w:top w:w="100" w:type="dxa"/>
              <w:bottom w:w="100" w:type="dxa"/>
              <w:left w:w="140" w:type="dxa"/>
              <w:right w:w="140" w:type="dxa"/>
            </w:tcMar>
          </w:tcPr>
          <w:p>
            <w:r>
              <w:rPr>
                <w:rFonts w:ascii="Segoe UI" w:hAnsi="Segoe UI"/>
                <w:b/>
                <w:color w:val="2A2540"/>
                <w:sz w:val="18"/>
              </w:rPr>
              <w:t>Cuisine &amp; Dietary Type</w:t>
            </w:r>
          </w:p>
        </w:tc>
        <w:tc>
          <w:tcPr>
            <w:tcW w:type="dxa" w:w="3168"/>
            <w:shd w:fill="F8F9FA"/>
            <w:tcMar>
              <w:top w:w="100" w:type="dxa"/>
              <w:bottom w:w="100" w:type="dxa"/>
              <w:left w:w="140" w:type="dxa"/>
              <w:right w:w="140" w:type="dxa"/>
            </w:tcMar>
          </w:tcPr>
          <w:p>
            <w:r>
              <w:rPr>
                <w:rFonts w:ascii="Segoe UI" w:hAnsi="Segoe UI"/>
                <w:sz w:val="18"/>
              </w:rPr>
              <w:t>South Indian | Vegetarian</w:t>
            </w:r>
          </w:p>
        </w:tc>
        <w:tc>
          <w:tcPr>
            <w:tcW w:type="dxa" w:w="4032"/>
            <w:shd w:fill="F8F9FA"/>
            <w:tcMar>
              <w:top w:w="100" w:type="dxa"/>
              <w:bottom w:w="100" w:type="dxa"/>
              <w:left w:w="140" w:type="dxa"/>
              <w:right w:w="140" w:type="dxa"/>
            </w:tcMar>
          </w:tcPr>
          <w:p>
            <w:r>
              <w:rPr>
                <w:rFonts w:ascii="Segoe UI" w:hAnsi="Segoe UI"/>
                <w:sz w:val="18"/>
              </w:rPr>
              <w:t>Ensures meal suggestions use familiar regional ingredients (ragi, idli, sambar, curd, sesame).</w:t>
            </w:r>
          </w:p>
        </w:tc>
      </w:tr>
      <w:tr>
        <w:tc>
          <w:tcPr>
            <w:tcW w:type="dxa" w:w="2880"/>
            <w:shd w:fill="FFFFFF"/>
            <w:tcMar>
              <w:top w:w="100" w:type="dxa"/>
              <w:bottom w:w="100" w:type="dxa"/>
              <w:left w:w="140" w:type="dxa"/>
              <w:right w:w="140" w:type="dxa"/>
            </w:tcMar>
          </w:tcPr>
          <w:p>
            <w:r>
              <w:rPr>
                <w:rFonts w:ascii="Segoe UI" w:hAnsi="Segoe UI"/>
                <w:b/>
                <w:color w:val="2A2540"/>
                <w:sz w:val="18"/>
              </w:rPr>
              <w:t>Active Health Conditions</w:t>
            </w:r>
          </w:p>
        </w:tc>
        <w:tc>
          <w:tcPr>
            <w:tcW w:type="dxa" w:w="3168"/>
            <w:shd w:fill="FFFFFF"/>
            <w:tcMar>
              <w:top w:w="100" w:type="dxa"/>
              <w:bottom w:w="100" w:type="dxa"/>
              <w:left w:w="140" w:type="dxa"/>
              <w:right w:w="140" w:type="dxa"/>
            </w:tcMar>
          </w:tcPr>
          <w:p>
            <w:r>
              <w:rPr>
                <w:rFonts w:ascii="Segoe UI" w:hAnsi="Segoe UI"/>
                <w:sz w:val="18"/>
              </w:rPr>
              <w:t>['Hypertension', 'Thyroid']</w:t>
            </w:r>
          </w:p>
        </w:tc>
        <w:tc>
          <w:tcPr>
            <w:tcW w:type="dxa" w:w="4032"/>
            <w:shd w:fill="FFFFFF"/>
            <w:tcMar>
              <w:top w:w="100" w:type="dxa"/>
              <w:bottom w:w="100" w:type="dxa"/>
              <w:left w:w="140" w:type="dxa"/>
              <w:right w:w="140" w:type="dxa"/>
            </w:tcMar>
          </w:tcPr>
          <w:p>
            <w:r>
              <w:rPr>
                <w:rFonts w:ascii="Segoe UI" w:hAnsi="Segoe UI"/>
                <w:sz w:val="18"/>
              </w:rPr>
              <w:t>Triggers clinical rules (e.g. low sodium, 4-hour thyroid medication spacing).</w:t>
            </w:r>
          </w:p>
        </w:tc>
      </w:tr>
      <w:tr>
        <w:tc>
          <w:tcPr>
            <w:tcW w:type="dxa" w:w="2880"/>
            <w:shd w:fill="F8F9FA"/>
            <w:tcMar>
              <w:top w:w="100" w:type="dxa"/>
              <w:bottom w:w="100" w:type="dxa"/>
              <w:left w:w="140" w:type="dxa"/>
              <w:right w:w="140" w:type="dxa"/>
            </w:tcMar>
          </w:tcPr>
          <w:p>
            <w:r>
              <w:rPr>
                <w:rFonts w:ascii="Segoe UI" w:hAnsi="Segoe UI"/>
                <w:b/>
                <w:color w:val="2A2540"/>
                <w:sz w:val="18"/>
              </w:rPr>
              <w:t>Daily Bone Score</w:t>
            </w:r>
          </w:p>
        </w:tc>
        <w:tc>
          <w:tcPr>
            <w:tcW w:type="dxa" w:w="3168"/>
            <w:shd w:fill="F8F9FA"/>
            <w:tcMar>
              <w:top w:w="100" w:type="dxa"/>
              <w:bottom w:w="100" w:type="dxa"/>
              <w:left w:w="140" w:type="dxa"/>
              <w:right w:w="140" w:type="dxa"/>
            </w:tcMar>
          </w:tcPr>
          <w:p>
            <w:r>
              <w:rPr>
                <w:rFonts w:ascii="Segoe UI" w:hAnsi="Segoe UI"/>
                <w:sz w:val="18"/>
              </w:rPr>
              <w:t>72/100 (Active Capital Builder)</w:t>
            </w:r>
          </w:p>
        </w:tc>
        <w:tc>
          <w:tcPr>
            <w:tcW w:type="dxa" w:w="4032"/>
            <w:shd w:fill="F8F9FA"/>
            <w:tcMar>
              <w:top w:w="100" w:type="dxa"/>
              <w:bottom w:w="100" w:type="dxa"/>
              <w:left w:w="140" w:type="dxa"/>
              <w:right w:w="140" w:type="dxa"/>
            </w:tcMar>
          </w:tcPr>
          <w:p>
            <w:r>
              <w:rPr>
                <w:rFonts w:ascii="Segoe UI" w:hAnsi="Segoe UI"/>
                <w:sz w:val="18"/>
              </w:rPr>
              <w:t>Provides immediate score context across Diet (32/40), Exercise (20/30), and Safety (10/20).</w:t>
            </w:r>
          </w:p>
        </w:tc>
      </w:tr>
      <w:tr>
        <w:tc>
          <w:tcPr>
            <w:tcW w:type="dxa" w:w="2880"/>
            <w:shd w:fill="FFFFFF"/>
            <w:tcMar>
              <w:top w:w="100" w:type="dxa"/>
              <w:bottom w:w="100" w:type="dxa"/>
              <w:left w:w="140" w:type="dxa"/>
              <w:right w:w="140" w:type="dxa"/>
            </w:tcMar>
          </w:tcPr>
          <w:p>
            <w:r>
              <w:rPr>
                <w:rFonts w:ascii="Segoe UI" w:hAnsi="Segoe UI"/>
                <w:b/>
                <w:color w:val="2A2540"/>
                <w:sz w:val="18"/>
              </w:rPr>
              <w:t>Today's Meal Progress</w:t>
            </w:r>
          </w:p>
        </w:tc>
        <w:tc>
          <w:tcPr>
            <w:tcW w:type="dxa" w:w="3168"/>
            <w:shd w:fill="FFFFFF"/>
            <w:tcMar>
              <w:top w:w="100" w:type="dxa"/>
              <w:bottom w:w="100" w:type="dxa"/>
              <w:left w:w="140" w:type="dxa"/>
              <w:right w:w="140" w:type="dxa"/>
            </w:tcMar>
          </w:tcPr>
          <w:p>
            <w:r>
              <w:rPr>
                <w:rFonts w:ascii="Segoe UI" w:hAnsi="Segoe UI"/>
                <w:sz w:val="18"/>
              </w:rPr>
              <w:t>Breakfast &amp; Lunch ticked; Snack &amp; Dinner pending</w:t>
            </w:r>
          </w:p>
        </w:tc>
        <w:tc>
          <w:tcPr>
            <w:tcW w:type="dxa" w:w="4032"/>
            <w:shd w:fill="FFFFFF"/>
            <w:tcMar>
              <w:top w:w="100" w:type="dxa"/>
              <w:bottom w:w="100" w:type="dxa"/>
              <w:left w:w="140" w:type="dxa"/>
              <w:right w:w="140" w:type="dxa"/>
            </w:tcMar>
          </w:tcPr>
          <w:p>
            <w:r>
              <w:rPr>
                <w:rFonts w:ascii="Segoe UI" w:hAnsi="Segoe UI"/>
                <w:sz w:val="18"/>
              </w:rPr>
              <w:t>Allows Ojas to give accurate advice for remaining daily nutrient gaps.</w:t>
            </w:r>
          </w:p>
        </w:tc>
      </w:tr>
      <w:tr>
        <w:tc>
          <w:tcPr>
            <w:tcW w:type="dxa" w:w="2880"/>
            <w:shd w:fill="F8F9FA"/>
            <w:tcMar>
              <w:top w:w="100" w:type="dxa"/>
              <w:bottom w:w="100" w:type="dxa"/>
              <w:left w:w="140" w:type="dxa"/>
              <w:right w:w="140" w:type="dxa"/>
            </w:tcMar>
          </w:tcPr>
          <w:p>
            <w:r>
              <w:rPr>
                <w:rFonts w:ascii="Segoe UI" w:hAnsi="Segoe UI"/>
                <w:b/>
                <w:color w:val="2A2540"/>
                <w:sz w:val="18"/>
              </w:rPr>
              <w:t>Active Screen View</w:t>
            </w:r>
          </w:p>
        </w:tc>
        <w:tc>
          <w:tcPr>
            <w:tcW w:type="dxa" w:w="3168"/>
            <w:shd w:fill="F8F9FA"/>
            <w:tcMar>
              <w:top w:w="100" w:type="dxa"/>
              <w:bottom w:w="100" w:type="dxa"/>
              <w:left w:w="140" w:type="dxa"/>
              <w:right w:w="140" w:type="dxa"/>
            </w:tcMar>
          </w:tcPr>
          <w:p>
            <w:r>
              <w:rPr>
                <w:rFonts w:ascii="Segoe UI" w:hAnsi="Segoe UI"/>
                <w:sz w:val="18"/>
              </w:rPr>
              <w:t>Diet Tab / Workout Player</w:t>
            </w:r>
          </w:p>
        </w:tc>
        <w:tc>
          <w:tcPr>
            <w:tcW w:type="dxa" w:w="4032"/>
            <w:shd w:fill="F8F9FA"/>
            <w:tcMar>
              <w:top w:w="100" w:type="dxa"/>
              <w:bottom w:w="100" w:type="dxa"/>
              <w:left w:w="140" w:type="dxa"/>
              <w:right w:w="140" w:type="dxa"/>
            </w:tcMar>
          </w:tcPr>
          <w:p>
            <w:r>
              <w:rPr>
                <w:rFonts w:ascii="Segoe UI" w:hAnsi="Segoe UI"/>
                <w:sz w:val="18"/>
              </w:rPr>
              <w:t>Enables contextual responses based on what the user is currently viewing.</w:t>
            </w:r>
          </w:p>
        </w:tc>
      </w:tr>
      <w:tr>
        <w:tc>
          <w:tcPr>
            <w:tcW w:type="dxa" w:w="2880"/>
            <w:shd w:fill="FFFFFF"/>
            <w:tcMar>
              <w:top w:w="100" w:type="dxa"/>
              <w:bottom w:w="100" w:type="dxa"/>
              <w:left w:w="140" w:type="dxa"/>
              <w:right w:w="140" w:type="dxa"/>
            </w:tcMar>
          </w:tcPr>
          <w:p>
            <w:r>
              <w:rPr>
                <w:rFonts w:ascii="Segoe UI" w:hAnsi="Segoe UI"/>
                <w:b/>
                <w:color w:val="2A2540"/>
                <w:sz w:val="18"/>
              </w:rPr>
              <w:t>Filtered Local Meals</w:t>
            </w:r>
          </w:p>
        </w:tc>
        <w:tc>
          <w:tcPr>
            <w:tcW w:type="dxa" w:w="3168"/>
            <w:shd w:fill="FFFFFF"/>
            <w:tcMar>
              <w:top w:w="100" w:type="dxa"/>
              <w:bottom w:w="100" w:type="dxa"/>
              <w:left w:w="140" w:type="dxa"/>
              <w:right w:w="140" w:type="dxa"/>
            </w:tcMar>
          </w:tcPr>
          <w:p>
            <w:r>
              <w:rPr>
                <w:rFonts w:ascii="Segoe UI" w:hAnsi="Segoe UI"/>
                <w:sz w:val="18"/>
              </w:rPr>
              <w:t>Methi Tofu Bhurji, Roasted Makhana with Sesame</w:t>
            </w:r>
          </w:p>
        </w:tc>
        <w:tc>
          <w:tcPr>
            <w:tcW w:type="dxa" w:w="4032"/>
            <w:shd w:fill="FFFFFF"/>
            <w:tcMar>
              <w:top w:w="100" w:type="dxa"/>
              <w:bottom w:w="100" w:type="dxa"/>
              <w:left w:w="140" w:type="dxa"/>
              <w:right w:w="140" w:type="dxa"/>
            </w:tcMar>
          </w:tcPr>
          <w:p>
            <w:r>
              <w:rPr>
                <w:rFonts w:ascii="Segoe UI" w:hAnsi="Segoe UI"/>
                <w:sz w:val="18"/>
              </w:rPr>
              <w:t>Presents top high-calcium options tailored to cuisine, diet, and health conditions.</w:t>
            </w:r>
          </w:p>
        </w:tc>
      </w:tr>
    </w:tbl>
    <w:p>
      <w:pPr>
        <w:spacing w:after="160"/>
      </w:pPr>
    </w:p>
    <w:p>
      <w:pPr>
        <w:keepNext/>
        <w:spacing w:before="320" w:after="120"/>
      </w:pPr>
      <w:r>
        <w:rPr>
          <w:rFonts w:ascii="Segoe UI" w:hAnsi="Segoe UI"/>
          <w:b/>
          <w:color w:val="D6265A"/>
          <w:sz w:val="32"/>
        </w:rPr>
        <w:t>2. What is "3-2-1 Calcium Scaffolding" in Clinical Guidance?</w:t>
      </w:r>
    </w:p>
    <w:p>
      <w:pPr>
        <w:spacing w:before="0" w:after="120" w:line="276" w:lineRule="auto"/>
      </w:pPr>
      <w:r>
        <w:rPr>
          <w:rFonts w:ascii="Segoe UI" w:hAnsi="Segoe UI"/>
          <w:color w:val="1E1E24"/>
          <w:sz w:val="21"/>
        </w:rPr>
        <w:t>The 3-2-1 Calcium Scaffolding framework is BONE SIP's proprietary daily nutritional protocol. Rather than treating calcium as an isolated nutrient, it models how the digestive tract actually absorbs minerals and how osteoblasts build living bone architecture.</w:t>
      </w:r>
    </w:p>
    <w:tbl>
      <w:tblPr>
        <w:tblW w:type="auto" w:w="0"/>
        <w:jc w:val="center"/>
        <w:tblLayout w:type="fixed"/>
        <w:tblLook w:firstColumn="1" w:firstRow="1" w:lastColumn="0" w:lastRow="0" w:noHBand="0" w:noVBand="1" w:val="04A0"/>
      </w:tblPr>
      <w:tblGrid>
        <w:gridCol w:w="10080"/>
      </w:tblGrid>
      <w:tr>
        <w:tc>
          <w:tcPr>
            <w:tcW w:type="dxa" w:w="10080"/>
            <w:shd w:fill="F9F5F7"/>
            <w:tcMar>
              <w:top w:w="140" w:type="dxa"/>
              <w:bottom w:w="140" w:type="dxa"/>
              <w:left w:w="180" w:type="dxa"/>
              <w:right w:w="180" w:type="dxa"/>
            </w:tcMar>
            <w:tcBorders>
              <w:top w:val="none"/>
              <w:left w:val="single" w:sz="24" w:space="0" w:color="D6265A"/>
              <w:bottom w:val="none"/>
              <w:right w:val="none"/>
            </w:tcBorders>
          </w:tcPr>
          <w:p>
            <w:pPr>
              <w:spacing w:before="0" w:after="0" w:line="276" w:lineRule="auto"/>
            </w:pPr>
            <w:r>
              <w:rPr>
                <w:rFonts w:ascii="Segoe UI" w:hAnsi="Segoe UI"/>
                <w:b/>
                <w:color w:val="D6265A"/>
                <w:sz w:val="20"/>
              </w:rPr>
              <w:t xml:space="preserve">Clinical Scaffold: </w:t>
            </w:r>
            <w:r>
              <w:rPr>
                <w:rFonts w:ascii="Segoe UI" w:hAnsi="Segoe UI"/>
                <w:color w:val="1E1E24"/>
                <w:sz w:val="20"/>
              </w:rPr>
              <w:t>The 3-2-1 Daily Formula:</w:t>
              <w:br/>
              <w:t>• 3 Calcium Moments: ~1,000–1,200 mg/day divided across 3 meal windows</w:t>
              <w:br/>
              <w:t>• 2 Protein Anchors: 1.0–1.2 g/kg/day across 2 primary meals</w:t>
              <w:br/>
              <w:t>• 1 Vitamin D3 Source: 15–20 minutes safe morning sunlight or clinical D3</w:t>
            </w:r>
          </w:p>
        </w:tc>
      </w:tr>
    </w:tbl>
    <w:p>
      <w:pPr>
        <w:spacing w:before="0" w:after="120"/>
      </w:pPr>
    </w:p>
    <w:p>
      <w:pPr>
        <w:keepNext/>
        <w:spacing w:before="240" w:after="80"/>
      </w:pPr>
      <w:r>
        <w:rPr>
          <w:rFonts w:ascii="Segoe UI" w:hAnsi="Segoe UI"/>
          <w:b/>
          <w:color w:val="2A2540"/>
          <w:sz w:val="26"/>
        </w:rPr>
        <w:t>A. Why 3 Calcium Moments? (Intestinal Receptor Saturation)</w:t>
      </w:r>
    </w:p>
    <w:p>
      <w:pPr>
        <w:spacing w:before="0" w:after="120" w:line="276" w:lineRule="auto"/>
      </w:pPr>
      <w:r>
        <w:rPr>
          <w:rFonts w:ascii="Segoe UI" w:hAnsi="Segoe UI"/>
          <w:color w:val="1E1E24"/>
          <w:sz w:val="21"/>
        </w:rPr>
        <w:t>Calcium is absorbed in the upper small intestine primarily through an active, carrier-mediated transcellular pathway utilizing the TRPV6 calcium channel and Calbindin-D9k transport protein. This active transport system saturates at approximately 400 to 500 mg of elemental calcium per meal.</w:t>
      </w:r>
    </w:p>
    <w:p>
      <w:pPr>
        <w:spacing w:before="0" w:after="120" w:line="276" w:lineRule="auto"/>
      </w:pPr>
      <w:r>
        <w:rPr>
          <w:rFonts w:ascii="Segoe UI" w:hAnsi="Segoe UI"/>
          <w:color w:val="1E1E24"/>
          <w:sz w:val="21"/>
        </w:rPr>
        <w:t>When an individual consumes their entire daily 1,200 mg requirement in one large meal or single high-dose tablet, fractional absorption drops below 15–20%, and the unabsorbed remainder is excreted unutilized. By scaffolding intake into three 300–400 mg deposits (Breakfast, Lunch, and Dinner/Snack), BONE SIP maintains peak transport efficiency throughout the day.</w:t>
      </w:r>
    </w:p>
    <w:p>
      <w:pPr>
        <w:keepNext/>
        <w:spacing w:before="240" w:after="80"/>
      </w:pPr>
      <w:r>
        <w:rPr>
          <w:rFonts w:ascii="Segoe UI" w:hAnsi="Segoe UI"/>
          <w:b/>
          <w:color w:val="2A2540"/>
          <w:sz w:val="26"/>
        </w:rPr>
        <w:t>B. Why 2 Protein Anchors? (The Structural Organic Matrix)</w:t>
      </w:r>
    </w:p>
    <w:p>
      <w:pPr>
        <w:spacing w:before="0" w:after="120" w:line="276" w:lineRule="auto"/>
      </w:pPr>
      <w:r>
        <w:rPr>
          <w:rFonts w:ascii="Segoe UI" w:hAnsi="Segoe UI"/>
          <w:color w:val="1E1E24"/>
          <w:sz w:val="21"/>
        </w:rPr>
        <w:t>A common misconception is that bone is made purely of minerals. In biological reality, 50% of bone by volume is an organic protein scaffold, composed almost entirely of Type-I Collagen fibers. Calcium crystals (hydroxyapatite) attach directly onto this flexible collagen network.</w:t>
      </w:r>
    </w:p>
    <w:p>
      <w:pPr>
        <w:spacing w:before="0" w:after="120" w:line="276" w:lineRule="auto"/>
      </w:pPr>
      <w:r>
        <w:rPr>
          <w:rFonts w:ascii="Segoe UI" w:hAnsi="Segoe UI"/>
          <w:color w:val="1E1E24"/>
          <w:sz w:val="21"/>
        </w:rPr>
        <w:t>Dietary protein stimulates the liver to produce Insulin-like Growth Factor 1 (IGF-1), which triggers renal calcium reabsorption and activates osteoblasts (bone-building cells). Furthermore, adequate protein prevents sarcopenia (age-related muscle wasting), ensuring the leg and hip muscles remain strong enough to absorb kinetic impact during a stumble. BONE SIP anchors protein in 2 main daily meals using dal, paneer, curd, sprouts, soya, eggs, or fish.</w:t>
      </w:r>
    </w:p>
    <w:p>
      <w:pPr>
        <w:keepNext/>
        <w:spacing w:before="240" w:after="80"/>
      </w:pPr>
      <w:r>
        <w:rPr>
          <w:rFonts w:ascii="Segoe UI" w:hAnsi="Segoe UI"/>
          <w:b/>
          <w:color w:val="2A2540"/>
          <w:sz w:val="26"/>
        </w:rPr>
        <w:t>C. Why 1 Vitamin D3 Source? (Active Mineralization)</w:t>
      </w:r>
    </w:p>
    <w:p>
      <w:pPr>
        <w:spacing w:before="0" w:after="120" w:line="276" w:lineRule="auto"/>
      </w:pPr>
      <w:r>
        <w:rPr>
          <w:rFonts w:ascii="Segoe UI" w:hAnsi="Segoe UI"/>
          <w:color w:val="1E1E24"/>
          <w:sz w:val="21"/>
        </w:rPr>
        <w:t>Without active Vitamin D (Calcitriol), the body cannot synthesize Calbindin-D9k, causing calcium absorption to fall below 10–15%. BONE SIP incorporates 1 dedicated daily deposit: either 15–20 minutes of safe mid-morning sunlight exposure on the arms and legs (between 10:00 AM and 1:00 PM for optimal UVB synthesis) or a doctor-prescribed Vitamin D3 supplement.</w:t>
      </w:r>
    </w:p>
    <w:p>
      <w:pPr>
        <w:keepNext/>
        <w:spacing w:before="240" w:after="80"/>
      </w:pPr>
      <w:r>
        <w:rPr>
          <w:rFonts w:ascii="Segoe UI" w:hAnsi="Segoe UI"/>
          <w:b/>
          <w:color w:val="2A2540"/>
          <w:sz w:val="26"/>
        </w:rPr>
        <w:t>D. Biochemical Co-Factors &amp; Timing Guardrails</w:t>
      </w:r>
    </w:p>
    <w:p>
      <w:pPr>
        <w:pStyle w:val="ListBullet"/>
        <w:spacing w:before="0" w:after="60" w:line="276" w:lineRule="auto"/>
      </w:pPr>
      <w:r>
        <w:rPr>
          <w:rFonts w:ascii="Segoe UI" w:hAnsi="Segoe UI"/>
          <w:b/>
          <w:color w:val="2A2540"/>
          <w:sz w:val="21"/>
        </w:rPr>
        <w:t xml:space="preserve">Vitamin K2 (MK-7): </w:t>
      </w:r>
      <w:r>
        <w:rPr>
          <w:rFonts w:ascii="Segoe UI" w:hAnsi="Segoe UI"/>
          <w:color w:val="1E1E24"/>
          <w:sz w:val="21"/>
        </w:rPr>
        <w:t>Acts as a molecular director by carboxylating osteocalcin, locking circulating calcium into bone hydroxyapatite and preventing calcium buildup in arterial walls.</w:t>
      </w:r>
    </w:p>
    <w:p>
      <w:pPr>
        <w:pStyle w:val="ListBullet"/>
        <w:spacing w:before="0" w:after="60" w:line="276" w:lineRule="auto"/>
      </w:pPr>
      <w:r>
        <w:rPr>
          <w:rFonts w:ascii="Segoe UI" w:hAnsi="Segoe UI"/>
          <w:b/>
          <w:color w:val="2A2540"/>
          <w:sz w:val="21"/>
        </w:rPr>
        <w:t xml:space="preserve">Magnesium: </w:t>
      </w:r>
      <w:r>
        <w:rPr>
          <w:rFonts w:ascii="Segoe UI" w:hAnsi="Segoe UI"/>
          <w:color w:val="1E1E24"/>
          <w:sz w:val="21"/>
        </w:rPr>
        <w:t>Required by the liver and kidneys to convert raw Vitamin D into its active form; regulates Parathyroid Hormone (PTH) release.</w:t>
      </w:r>
    </w:p>
    <w:p>
      <w:pPr>
        <w:pStyle w:val="ListBullet"/>
        <w:spacing w:before="0" w:after="60" w:line="276" w:lineRule="auto"/>
      </w:pPr>
      <w:r>
        <w:rPr>
          <w:rFonts w:ascii="Segoe UI" w:hAnsi="Segoe UI"/>
          <w:b/>
          <w:color w:val="2A2540"/>
          <w:sz w:val="21"/>
        </w:rPr>
        <w:t xml:space="preserve">Thyroid Medication Spacing: </w:t>
      </w:r>
      <w:r>
        <w:rPr>
          <w:rFonts w:ascii="Segoe UI" w:hAnsi="Segoe UI"/>
          <w:color w:val="1E1E24"/>
          <w:sz w:val="21"/>
        </w:rPr>
        <w:t>Levothyroxine chemically binds with calcium ions in the stomach, forming an unabsorbable complex. BONE SIP mandates taking thyroid tablets on an empty stomach with water and waiting at least 4 hours before consuming any calcium-rich foods or supplements.</w:t>
      </w:r>
    </w:p>
    <w:p>
      <w:pPr>
        <w:pStyle w:val="ListBullet"/>
        <w:spacing w:before="0" w:after="60" w:line="276" w:lineRule="auto"/>
      </w:pPr>
      <w:r>
        <w:rPr>
          <w:rFonts w:ascii="Segoe UI" w:hAnsi="Segoe UI"/>
          <w:b/>
          <w:color w:val="2A2540"/>
          <w:sz w:val="21"/>
        </w:rPr>
        <w:t xml:space="preserve">Tannin &amp; Polyphenol Spacing: </w:t>
      </w:r>
      <w:r>
        <w:rPr>
          <w:rFonts w:ascii="Segoe UI" w:hAnsi="Segoe UI"/>
          <w:color w:val="1E1E24"/>
          <w:sz w:val="21"/>
        </w:rPr>
        <w:t>Tannins and polyphenols in Indian tea (chai) and coffee chelate calcium in the gut. Users are advised to space tea and coffee at least 1 hour away from 3-2-1 meals.</w:t>
      </w:r>
    </w:p>
    <w:p>
      <w:pPr>
        <w:pStyle w:val="ListBullet"/>
        <w:spacing w:before="0" w:after="60" w:line="276" w:lineRule="auto"/>
      </w:pPr>
      <w:r>
        <w:rPr>
          <w:rFonts w:ascii="Segoe UI" w:hAnsi="Segoe UI"/>
          <w:b/>
          <w:color w:val="2A2540"/>
          <w:sz w:val="21"/>
        </w:rPr>
        <w:t xml:space="preserve">Sodium Regulation: </w:t>
      </w:r>
      <w:r>
        <w:rPr>
          <w:rFonts w:ascii="Segoe UI" w:hAnsi="Segoe UI"/>
          <w:color w:val="1E1E24"/>
          <w:sz w:val="21"/>
        </w:rPr>
        <w:t>Excessive sodium forces the renal tubules to excrete calcium along with sodium. BONE SIP recipes limit added salt to protect against silent urinary calcium wasting.</w:t>
      </w:r>
    </w:p>
    <w:p>
      <w:pPr>
        <w:keepNext/>
        <w:spacing w:before="320" w:after="120"/>
      </w:pPr>
      <w:r>
        <w:rPr>
          <w:rFonts w:ascii="Segoe UI" w:hAnsi="Segoe UI"/>
          <w:b/>
          <w:color w:val="D6265A"/>
          <w:sz w:val="32"/>
        </w:rPr>
        <w:t>3. Fall Risk Screening: Questionnaires &amp; Clinical Sources</w:t>
      </w:r>
    </w:p>
    <w:p>
      <w:pPr>
        <w:spacing w:before="0" w:after="120" w:line="276" w:lineRule="auto"/>
      </w:pPr>
      <w:r>
        <w:rPr>
          <w:rFonts w:ascii="Segoe UI" w:hAnsi="Segoe UI"/>
          <w:color w:val="1E1E24"/>
          <w:sz w:val="21"/>
        </w:rPr>
        <w:t>Over 90% of hip fractures in older adults occur as the direct result of a simple, ground-level fall. To protect users against fractures, the Protect pillar of BONE SIP implements an evidence-based, two-tier fall prevention screening framework.</w:t>
      </w:r>
    </w:p>
    <w:p>
      <w:pPr>
        <w:keepNext/>
        <w:spacing w:before="240" w:after="80"/>
      </w:pPr>
      <w:r>
        <w:rPr>
          <w:rFonts w:ascii="Segoe UI" w:hAnsi="Segoe UI"/>
          <w:b/>
          <w:color w:val="2A2540"/>
          <w:sz w:val="26"/>
        </w:rPr>
        <w:t>A. Personal Clinical Fall Risk Screening (6 Warning Signs)</w:t>
      </w:r>
    </w:p>
    <w:p>
      <w:pPr>
        <w:spacing w:before="0" w:after="120" w:line="276" w:lineRule="auto"/>
      </w:pPr>
      <w:r>
        <w:rPr>
          <w:rFonts w:ascii="Segoe UI" w:hAnsi="Segoe UI"/>
          <w:color w:val="1E1E24"/>
          <w:sz w:val="21"/>
        </w:rPr>
        <w:t>The 6 personal screening questions are directly adapted from the CDC STEADI (Stopping Elderly Accidents, Deaths, &amp; Injuries) algorithm—specifically the validated "Stay Independent" screening tool created by the U.S. Centers for Disease Control and Prevention. This framework is endorsed by the American Geriatrics Society / British Geriatrics Society (AGS/BGS) and the WHO ICOPE (Integrated Care for Older People) clinical guidelines.</w:t>
      </w:r>
    </w:p>
    <w:tbl>
      <w:tblPr>
        <w:tblW w:type="auto" w:w="0"/>
        <w:jc w:val="center"/>
        <w:tblLayout w:type="fixed"/>
        <w:tblLook w:firstColumn="1" w:firstRow="1" w:lastColumn="0" w:lastRow="0" w:noHBand="0" w:noVBand="1" w:val="04A0"/>
      </w:tblPr>
      <w:tblGrid>
        <w:gridCol w:w="2592"/>
        <w:gridCol w:w="3168"/>
        <w:gridCol w:w="4320"/>
      </w:tblGrid>
      <w:tr>
        <w:tc>
          <w:tcPr>
            <w:tcW w:type="dxa" w:w="3360"/>
            <w:shd w:fill="2A2540"/>
            <w:tcMar>
              <w:top w:w="140" w:type="dxa"/>
              <w:bottom w:w="140" w:type="dxa"/>
              <w:left w:w="160" w:type="dxa"/>
              <w:right w:w="160" w:type="dxa"/>
            </w:tcMar>
          </w:tcPr>
          <w:p>
            <w:r>
              <w:rPr>
                <w:b/>
                <w:color w:val="FFFFFF"/>
                <w:sz w:val="19"/>
              </w:rPr>
              <w:t>Clinical Factor</w:t>
            </w:r>
          </w:p>
        </w:tc>
        <w:tc>
          <w:tcPr>
            <w:tcW w:type="dxa" w:w="3360"/>
            <w:shd w:fill="2A2540"/>
            <w:tcMar>
              <w:top w:w="140" w:type="dxa"/>
              <w:bottom w:w="140" w:type="dxa"/>
              <w:left w:w="160" w:type="dxa"/>
              <w:right w:w="160" w:type="dxa"/>
            </w:tcMar>
          </w:tcPr>
          <w:p>
            <w:r>
              <w:rPr>
                <w:b/>
                <w:color w:val="FFFFFF"/>
                <w:sz w:val="19"/>
              </w:rPr>
              <w:t>Screening Question</w:t>
            </w:r>
          </w:p>
        </w:tc>
        <w:tc>
          <w:tcPr>
            <w:tcW w:type="dxa" w:w="3360"/>
            <w:shd w:fill="2A2540"/>
            <w:tcMar>
              <w:top w:w="140" w:type="dxa"/>
              <w:bottom w:w="140" w:type="dxa"/>
              <w:left w:w="160" w:type="dxa"/>
              <w:right w:w="160" w:type="dxa"/>
            </w:tcMar>
          </w:tcPr>
          <w:p>
            <w:r>
              <w:rPr>
                <w:b/>
                <w:color w:val="FFFFFF"/>
                <w:sz w:val="19"/>
              </w:rPr>
              <w:t>Medical Rationale &amp; Evidence Base</w:t>
            </w:r>
          </w:p>
        </w:tc>
      </w:tr>
      <w:tr>
        <w:tc>
          <w:tcPr>
            <w:tcW w:type="dxa" w:w="2592"/>
            <w:shd w:fill="FFFFFF"/>
            <w:tcMar>
              <w:top w:w="100" w:type="dxa"/>
              <w:bottom w:w="100" w:type="dxa"/>
              <w:left w:w="140" w:type="dxa"/>
              <w:right w:w="140" w:type="dxa"/>
            </w:tcMar>
          </w:tcPr>
          <w:p>
            <w:r>
              <w:rPr>
                <w:rFonts w:ascii="Segoe UI" w:hAnsi="Segoe UI"/>
                <w:b/>
                <w:color w:val="D6265A"/>
                <w:sz w:val="18"/>
              </w:rPr>
              <w:t>Prior Fall History</w:t>
            </w:r>
          </w:p>
        </w:tc>
        <w:tc>
          <w:tcPr>
            <w:tcW w:type="dxa" w:w="3168"/>
            <w:shd w:fill="FFFFFF"/>
            <w:tcMar>
              <w:top w:w="100" w:type="dxa"/>
              <w:bottom w:w="100" w:type="dxa"/>
              <w:left w:w="140" w:type="dxa"/>
              <w:right w:w="140" w:type="dxa"/>
            </w:tcMar>
          </w:tcPr>
          <w:p>
            <w:r>
              <w:rPr>
                <w:rFonts w:ascii="Segoe UI" w:hAnsi="Segoe UI"/>
                <w:sz w:val="18"/>
              </w:rPr>
              <w:t>Fell in the last year</w:t>
            </w:r>
          </w:p>
        </w:tc>
        <w:tc>
          <w:tcPr>
            <w:tcW w:type="dxa" w:w="4320"/>
            <w:shd w:fill="FFFFFF"/>
            <w:tcMar>
              <w:top w:w="100" w:type="dxa"/>
              <w:bottom w:w="100" w:type="dxa"/>
              <w:left w:w="140" w:type="dxa"/>
              <w:right w:w="140" w:type="dxa"/>
            </w:tcMar>
          </w:tcPr>
          <w:p>
            <w:r>
              <w:rPr>
                <w:rFonts w:ascii="Segoe UI" w:hAnsi="Segoe UI"/>
                <w:sz w:val="18"/>
              </w:rPr>
              <w:t>A past fall within the last 12 months is the single strongest clinical predictor of a future fall and fragility fracture.</w:t>
            </w:r>
          </w:p>
        </w:tc>
      </w:tr>
      <w:tr>
        <w:tc>
          <w:tcPr>
            <w:tcW w:type="dxa" w:w="2592"/>
            <w:shd w:fill="F8F9FA"/>
            <w:tcMar>
              <w:top w:w="100" w:type="dxa"/>
              <w:bottom w:w="100" w:type="dxa"/>
              <w:left w:w="140" w:type="dxa"/>
              <w:right w:w="140" w:type="dxa"/>
            </w:tcMar>
          </w:tcPr>
          <w:p>
            <w:r>
              <w:rPr>
                <w:rFonts w:ascii="Segoe UI" w:hAnsi="Segoe UI"/>
                <w:b/>
                <w:color w:val="D6265A"/>
                <w:sz w:val="18"/>
              </w:rPr>
              <w:t>Gait &amp; Balance Deficit</w:t>
            </w:r>
          </w:p>
        </w:tc>
        <w:tc>
          <w:tcPr>
            <w:tcW w:type="dxa" w:w="3168"/>
            <w:shd w:fill="F8F9FA"/>
            <w:tcMar>
              <w:top w:w="100" w:type="dxa"/>
              <w:bottom w:w="100" w:type="dxa"/>
              <w:left w:w="140" w:type="dxa"/>
              <w:right w:w="140" w:type="dxa"/>
            </w:tcMar>
          </w:tcPr>
          <w:p>
            <w:r>
              <w:rPr>
                <w:rFonts w:ascii="Segoe UI" w:hAnsi="Segoe UI"/>
                <w:sz w:val="18"/>
              </w:rPr>
              <w:t>Unsteady walking or balance</w:t>
            </w:r>
          </w:p>
        </w:tc>
        <w:tc>
          <w:tcPr>
            <w:tcW w:type="dxa" w:w="4320"/>
            <w:shd w:fill="F8F9FA"/>
            <w:tcMar>
              <w:top w:w="100" w:type="dxa"/>
              <w:bottom w:w="100" w:type="dxa"/>
              <w:left w:w="140" w:type="dxa"/>
              <w:right w:w="140" w:type="dxa"/>
            </w:tcMar>
          </w:tcPr>
          <w:p>
            <w:r>
              <w:rPr>
                <w:rFonts w:ascii="Segoe UI" w:hAnsi="Segoe UI"/>
                <w:sz w:val="18"/>
              </w:rPr>
              <w:t>Identifies lower-extremity weakness, joint instability, or peripheral sensory loss in the feet.</w:t>
            </w:r>
          </w:p>
        </w:tc>
      </w:tr>
      <w:tr>
        <w:tc>
          <w:tcPr>
            <w:tcW w:type="dxa" w:w="2592"/>
            <w:shd w:fill="FFFFFF"/>
            <w:tcMar>
              <w:top w:w="100" w:type="dxa"/>
              <w:bottom w:w="100" w:type="dxa"/>
              <w:left w:w="140" w:type="dxa"/>
              <w:right w:w="140" w:type="dxa"/>
            </w:tcMar>
          </w:tcPr>
          <w:p>
            <w:r>
              <w:rPr>
                <w:rFonts w:ascii="Segoe UI" w:hAnsi="Segoe UI"/>
                <w:b/>
                <w:color w:val="D6265A"/>
                <w:sz w:val="18"/>
              </w:rPr>
              <w:t>Orthostatic Dizziness</w:t>
            </w:r>
          </w:p>
        </w:tc>
        <w:tc>
          <w:tcPr>
            <w:tcW w:type="dxa" w:w="3168"/>
            <w:shd w:fill="FFFFFF"/>
            <w:tcMar>
              <w:top w:w="100" w:type="dxa"/>
              <w:bottom w:w="100" w:type="dxa"/>
              <w:left w:w="140" w:type="dxa"/>
              <w:right w:w="140" w:type="dxa"/>
            </w:tcMar>
          </w:tcPr>
          <w:p>
            <w:r>
              <w:rPr>
                <w:rFonts w:ascii="Segoe UI" w:hAnsi="Segoe UI"/>
                <w:sz w:val="18"/>
              </w:rPr>
              <w:t>Dizziness when standing up</w:t>
            </w:r>
          </w:p>
        </w:tc>
        <w:tc>
          <w:tcPr>
            <w:tcW w:type="dxa" w:w="4320"/>
            <w:shd w:fill="FFFFFF"/>
            <w:tcMar>
              <w:top w:w="100" w:type="dxa"/>
              <w:bottom w:w="100" w:type="dxa"/>
              <w:left w:w="140" w:type="dxa"/>
              <w:right w:w="140" w:type="dxa"/>
            </w:tcMar>
          </w:tcPr>
          <w:p>
            <w:r>
              <w:rPr>
                <w:rFonts w:ascii="Segoe UI" w:hAnsi="Segoe UI"/>
                <w:sz w:val="18"/>
              </w:rPr>
              <w:t>Screens for orthostatic hypotension (blood pressure drop upon rising), vestibular issues, or cardiac rhythm irregularities.</w:t>
            </w:r>
          </w:p>
        </w:tc>
      </w:tr>
      <w:tr>
        <w:tc>
          <w:tcPr>
            <w:tcW w:type="dxa" w:w="2592"/>
            <w:shd w:fill="F8F9FA"/>
            <w:tcMar>
              <w:top w:w="100" w:type="dxa"/>
              <w:bottom w:w="100" w:type="dxa"/>
              <w:left w:w="140" w:type="dxa"/>
              <w:right w:w="140" w:type="dxa"/>
            </w:tcMar>
          </w:tcPr>
          <w:p>
            <w:r>
              <w:rPr>
                <w:rFonts w:ascii="Segoe UI" w:hAnsi="Segoe UI"/>
                <w:b/>
                <w:color w:val="D6265A"/>
                <w:sz w:val="18"/>
              </w:rPr>
              <w:t>Fear of Falling</w:t>
            </w:r>
          </w:p>
        </w:tc>
        <w:tc>
          <w:tcPr>
            <w:tcW w:type="dxa" w:w="3168"/>
            <w:shd w:fill="F8F9FA"/>
            <w:tcMar>
              <w:top w:w="100" w:type="dxa"/>
              <w:bottom w:w="100" w:type="dxa"/>
              <w:left w:w="140" w:type="dxa"/>
              <w:right w:w="140" w:type="dxa"/>
            </w:tcMar>
          </w:tcPr>
          <w:p>
            <w:r>
              <w:rPr>
                <w:rFonts w:ascii="Segoe UI" w:hAnsi="Segoe UI"/>
                <w:sz w:val="18"/>
              </w:rPr>
              <w:t>Fear of falling</w:t>
            </w:r>
          </w:p>
        </w:tc>
        <w:tc>
          <w:tcPr>
            <w:tcW w:type="dxa" w:w="4320"/>
            <w:shd w:fill="F8F9FA"/>
            <w:tcMar>
              <w:top w:w="100" w:type="dxa"/>
              <w:bottom w:w="100" w:type="dxa"/>
              <w:left w:w="140" w:type="dxa"/>
              <w:right w:w="140" w:type="dxa"/>
            </w:tcMar>
          </w:tcPr>
          <w:p>
            <w:r>
              <w:rPr>
                <w:rFonts w:ascii="Segoe UI" w:hAnsi="Segoe UI"/>
                <w:sz w:val="18"/>
              </w:rPr>
              <w:t>Identifies kinesiophobia (fear-induced activity avoidance), which causes rapid disuse muscle atrophy and paradoxically worsens fall risk.</w:t>
            </w:r>
          </w:p>
        </w:tc>
      </w:tr>
      <w:tr>
        <w:tc>
          <w:tcPr>
            <w:tcW w:type="dxa" w:w="2592"/>
            <w:shd w:fill="FFFFFF"/>
            <w:tcMar>
              <w:top w:w="100" w:type="dxa"/>
              <w:bottom w:w="100" w:type="dxa"/>
              <w:left w:w="140" w:type="dxa"/>
              <w:right w:w="140" w:type="dxa"/>
            </w:tcMar>
          </w:tcPr>
          <w:p>
            <w:r>
              <w:rPr>
                <w:rFonts w:ascii="Segoe UI" w:hAnsi="Segoe UI"/>
                <w:b/>
                <w:color w:val="D6265A"/>
                <w:sz w:val="18"/>
              </w:rPr>
              <w:t>Visual Impairment</w:t>
            </w:r>
          </w:p>
        </w:tc>
        <w:tc>
          <w:tcPr>
            <w:tcW w:type="dxa" w:w="3168"/>
            <w:shd w:fill="FFFFFF"/>
            <w:tcMar>
              <w:top w:w="100" w:type="dxa"/>
              <w:bottom w:w="100" w:type="dxa"/>
              <w:left w:w="140" w:type="dxa"/>
              <w:right w:w="140" w:type="dxa"/>
            </w:tcMar>
          </w:tcPr>
          <w:p>
            <w:r>
              <w:rPr>
                <w:rFonts w:ascii="Segoe UI" w:hAnsi="Segoe UI"/>
                <w:sz w:val="18"/>
              </w:rPr>
              <w:t>Vision problems</w:t>
            </w:r>
          </w:p>
        </w:tc>
        <w:tc>
          <w:tcPr>
            <w:tcW w:type="dxa" w:w="4320"/>
            <w:shd w:fill="FFFFFF"/>
            <w:tcMar>
              <w:top w:w="100" w:type="dxa"/>
              <w:bottom w:w="100" w:type="dxa"/>
              <w:left w:w="140" w:type="dxa"/>
              <w:right w:w="140" w:type="dxa"/>
            </w:tcMar>
          </w:tcPr>
          <w:p>
            <w:r>
              <w:rPr>
                <w:rFonts w:ascii="Segoe UI" w:hAnsi="Segoe UI"/>
                <w:sz w:val="18"/>
              </w:rPr>
              <w:t>Screens for reduced contrast sensitivity, cataracts, or difficulty judging step edges in low-light environments.</w:t>
            </w:r>
          </w:p>
        </w:tc>
      </w:tr>
      <w:tr>
        <w:tc>
          <w:tcPr>
            <w:tcW w:type="dxa" w:w="2592"/>
            <w:shd w:fill="F8F9FA"/>
            <w:tcMar>
              <w:top w:w="100" w:type="dxa"/>
              <w:bottom w:w="100" w:type="dxa"/>
              <w:left w:w="140" w:type="dxa"/>
              <w:right w:w="140" w:type="dxa"/>
            </w:tcMar>
          </w:tcPr>
          <w:p>
            <w:r>
              <w:rPr>
                <w:rFonts w:ascii="Segoe UI" w:hAnsi="Segoe UI"/>
                <w:b/>
                <w:color w:val="D6265A"/>
                <w:sz w:val="18"/>
              </w:rPr>
              <w:t>Polypharmacy</w:t>
            </w:r>
          </w:p>
        </w:tc>
        <w:tc>
          <w:tcPr>
            <w:tcW w:type="dxa" w:w="3168"/>
            <w:shd w:fill="F8F9FA"/>
            <w:tcMar>
              <w:top w:w="100" w:type="dxa"/>
              <w:bottom w:w="100" w:type="dxa"/>
              <w:left w:w="140" w:type="dxa"/>
              <w:right w:w="140" w:type="dxa"/>
            </w:tcMar>
          </w:tcPr>
          <w:p>
            <w:r>
              <w:rPr>
                <w:rFonts w:ascii="Segoe UI" w:hAnsi="Segoe UI"/>
                <w:sz w:val="18"/>
              </w:rPr>
              <w:t>4 or more daily medicines</w:t>
            </w:r>
          </w:p>
        </w:tc>
        <w:tc>
          <w:tcPr>
            <w:tcW w:type="dxa" w:w="4320"/>
            <w:shd w:fill="F8F9FA"/>
            <w:tcMar>
              <w:top w:w="100" w:type="dxa"/>
              <w:bottom w:w="100" w:type="dxa"/>
              <w:left w:w="140" w:type="dxa"/>
              <w:right w:w="140" w:type="dxa"/>
            </w:tcMar>
          </w:tcPr>
          <w:p>
            <w:r>
              <w:rPr>
                <w:rFonts w:ascii="Segoe UI" w:hAnsi="Segoe UI"/>
                <w:sz w:val="18"/>
              </w:rPr>
              <w:t>Identifies cumulative medication side effects (sedation, dizziness, ataxia, and hypotensive dips).</w:t>
            </w:r>
          </w:p>
        </w:tc>
      </w:tr>
    </w:tbl>
    <w:p>
      <w:pPr>
        <w:spacing w:after="160"/>
      </w:pPr>
    </w:p>
    <w:p>
      <w:pPr>
        <w:keepNext/>
        <w:spacing w:before="160" w:after="40"/>
      </w:pPr>
      <w:r>
        <w:rPr>
          <w:rFonts w:ascii="Segoe UI" w:hAnsi="Segoe UI"/>
          <w:b/>
          <w:color w:val="2A2540"/>
          <w:sz w:val="22"/>
        </w:rPr>
        <w:t>Risk Stratification &amp; Clinical Action Triggers</w:t>
      </w:r>
    </w:p>
    <w:p>
      <w:pPr>
        <w:pStyle w:val="ListBullet"/>
        <w:spacing w:before="0" w:after="60" w:line="276" w:lineRule="auto"/>
      </w:pPr>
      <w:r>
        <w:rPr>
          <w:rFonts w:ascii="Segoe UI" w:hAnsi="Segoe UI"/>
          <w:b/>
          <w:color w:val="2A2540"/>
          <w:sz w:val="21"/>
        </w:rPr>
        <w:t xml:space="preserve">0–1 Warning Signs (Low Risk): </w:t>
      </w:r>
      <w:r>
        <w:rPr>
          <w:rFonts w:ascii="Segoe UI" w:hAnsi="Segoe UI"/>
          <w:color w:val="1E1E24"/>
          <w:sz w:val="21"/>
        </w:rPr>
        <w:t>Focus on daily balance exercises (Heel-to-Toe walking, Single-Leg Balance) and basic home safety maintenance.</w:t>
      </w:r>
    </w:p>
    <w:p>
      <w:pPr>
        <w:pStyle w:val="ListBullet"/>
        <w:spacing w:before="0" w:after="60" w:line="276" w:lineRule="auto"/>
      </w:pPr>
      <w:r>
        <w:rPr>
          <w:rFonts w:ascii="Segoe UI" w:hAnsi="Segoe UI"/>
          <w:b/>
          <w:color w:val="2A2540"/>
          <w:sz w:val="21"/>
        </w:rPr>
        <w:t xml:space="preserve">2–4 Warning Signs (Moderate Risk): </w:t>
      </w:r>
      <w:r>
        <w:rPr>
          <w:rFonts w:ascii="Segoe UI" w:hAnsi="Segoe UI"/>
          <w:color w:val="1E1E24"/>
          <w:sz w:val="21"/>
        </w:rPr>
        <w:t>Prompts the user to begin guided strength and balance routines, review medications with their doctor, and eliminate household hazards.</w:t>
      </w:r>
    </w:p>
    <w:p>
      <w:pPr>
        <w:pStyle w:val="ListBullet"/>
        <w:spacing w:before="0" w:after="60" w:line="276" w:lineRule="auto"/>
      </w:pPr>
      <w:r>
        <w:rPr>
          <w:rFonts w:ascii="Segoe UI" w:hAnsi="Segoe UI"/>
          <w:b/>
          <w:color w:val="2A2540"/>
          <w:sz w:val="21"/>
        </w:rPr>
        <w:t xml:space="preserve">5–6 Warning Signs (High Risk): </w:t>
      </w:r>
      <w:r>
        <w:rPr>
          <w:rFonts w:ascii="Segoe UI" w:hAnsi="Segoe UI"/>
          <w:color w:val="1E1E24"/>
          <w:sz w:val="21"/>
        </w:rPr>
        <w:t>Recommends a formal medical checkup, physical therapy assessment, and assistive mobility support when walking outside.</w:t>
      </w:r>
    </w:p>
    <w:p>
      <w:pPr>
        <w:keepNext/>
        <w:spacing w:before="240" w:after="80"/>
      </w:pPr>
      <w:r>
        <w:rPr>
          <w:rFonts w:ascii="Segoe UI" w:hAnsi="Segoe UI"/>
          <w:b/>
          <w:color w:val="2A2540"/>
          <w:sz w:val="26"/>
        </w:rPr>
        <w:t>B. The 5-Room Home Hazard Safety Audit (15 Checkpoints)</w:t>
      </w:r>
    </w:p>
    <w:p>
      <w:pPr>
        <w:spacing w:before="0" w:after="120" w:line="276" w:lineRule="auto"/>
      </w:pPr>
      <w:r>
        <w:rPr>
          <w:rFonts w:ascii="Segoe UI" w:hAnsi="Segoe UI"/>
          <w:color w:val="1E1E24"/>
          <w:sz w:val="21"/>
        </w:rPr>
        <w:t>More than 60% of falls among seniors occur within their own homes. Sourced directly from the CDC STEADI "Check for Safety: A Home Fall Prevention Checklist for Older Adults" and National Institute on Aging (NIA/NIH) guidelines, BONE SIP evaluates 15 critical checkpoints across 5 high-risk domestic zones:</w:t>
      </w:r>
    </w:p>
    <w:tbl>
      <w:tblPr>
        <w:tblW w:type="auto" w:w="0"/>
        <w:jc w:val="center"/>
        <w:tblLayout w:type="fixed"/>
        <w:tblLook w:firstColumn="1" w:firstRow="1" w:lastColumn="0" w:lastRow="0" w:noHBand="0" w:noVBand="1" w:val="04A0"/>
      </w:tblPr>
      <w:tblGrid>
        <w:gridCol w:w="2592"/>
        <w:gridCol w:w="3168"/>
        <w:gridCol w:w="4320"/>
      </w:tblGrid>
      <w:tr>
        <w:tc>
          <w:tcPr>
            <w:tcW w:type="dxa" w:w="3360"/>
            <w:shd w:fill="2A2540"/>
            <w:tcMar>
              <w:top w:w="140" w:type="dxa"/>
              <w:bottom w:w="140" w:type="dxa"/>
              <w:left w:w="160" w:type="dxa"/>
              <w:right w:w="160" w:type="dxa"/>
            </w:tcMar>
          </w:tcPr>
          <w:p>
            <w:r>
              <w:rPr>
                <w:b/>
                <w:color w:val="FFFFFF"/>
                <w:sz w:val="19"/>
              </w:rPr>
              <w:t>Domestic Zone</w:t>
            </w:r>
          </w:p>
        </w:tc>
        <w:tc>
          <w:tcPr>
            <w:tcW w:type="dxa" w:w="3360"/>
            <w:shd w:fill="2A2540"/>
            <w:tcMar>
              <w:top w:w="140" w:type="dxa"/>
              <w:bottom w:w="140" w:type="dxa"/>
              <w:left w:w="160" w:type="dxa"/>
              <w:right w:w="160" w:type="dxa"/>
            </w:tcMar>
          </w:tcPr>
          <w:p>
            <w:r>
              <w:rPr>
                <w:b/>
                <w:color w:val="FFFFFF"/>
                <w:sz w:val="19"/>
              </w:rPr>
              <w:t>Checkpoints Screened</w:t>
            </w:r>
          </w:p>
        </w:tc>
        <w:tc>
          <w:tcPr>
            <w:tcW w:type="dxa" w:w="3360"/>
            <w:shd w:fill="2A2540"/>
            <w:tcMar>
              <w:top w:w="140" w:type="dxa"/>
              <w:bottom w:w="140" w:type="dxa"/>
              <w:left w:w="160" w:type="dxa"/>
              <w:right w:w="160" w:type="dxa"/>
            </w:tcMar>
          </w:tcPr>
          <w:p>
            <w:r>
              <w:rPr>
                <w:b/>
                <w:color w:val="FFFFFF"/>
                <w:sz w:val="19"/>
              </w:rPr>
              <w:t>Environmental Fix &amp; Clinical Objective</w:t>
            </w:r>
          </w:p>
        </w:tc>
      </w:tr>
      <w:tr>
        <w:tc>
          <w:tcPr>
            <w:tcW w:type="dxa" w:w="2592"/>
            <w:shd w:fill="FFFFFF"/>
            <w:tcMar>
              <w:top w:w="100" w:type="dxa"/>
              <w:bottom w:w="100" w:type="dxa"/>
              <w:left w:w="140" w:type="dxa"/>
              <w:right w:w="140" w:type="dxa"/>
            </w:tcMar>
          </w:tcPr>
          <w:p>
            <w:r>
              <w:rPr>
                <w:rFonts w:ascii="Segoe UI" w:hAnsi="Segoe UI"/>
                <w:b/>
                <w:color w:val="14825F"/>
                <w:sz w:val="18"/>
              </w:rPr>
              <w:t>Bedroom</w:t>
            </w:r>
          </w:p>
        </w:tc>
        <w:tc>
          <w:tcPr>
            <w:tcW w:type="dxa" w:w="3168"/>
            <w:shd w:fill="FFFFFF"/>
            <w:tcMar>
              <w:top w:w="100" w:type="dxa"/>
              <w:bottom w:w="100" w:type="dxa"/>
              <w:left w:w="140" w:type="dxa"/>
              <w:right w:w="140" w:type="dxa"/>
            </w:tcMar>
          </w:tcPr>
          <w:p>
            <w:r>
              <w:rPr>
                <w:rFonts w:ascii="Segoe UI" w:hAnsi="Segoe UI"/>
                <w:sz w:val="18"/>
              </w:rPr>
              <w:t>1. Clear bed-to-door path</w:t>
              <w:br/>
              <w:t>2. Bedside light reachable</w:t>
              <w:br/>
              <w:t>3. Feet flat on floor when seated</w:t>
            </w:r>
          </w:p>
        </w:tc>
        <w:tc>
          <w:tcPr>
            <w:tcW w:type="dxa" w:w="4320"/>
            <w:shd w:fill="FFFFFF"/>
            <w:tcMar>
              <w:top w:w="100" w:type="dxa"/>
              <w:bottom w:w="100" w:type="dxa"/>
              <w:left w:w="140" w:type="dxa"/>
              <w:right w:w="140" w:type="dxa"/>
            </w:tcMar>
          </w:tcPr>
          <w:p>
            <w:r>
              <w:rPr>
                <w:rFonts w:ascii="Segoe UI" w:hAnsi="Segoe UI"/>
                <w:sz w:val="18"/>
              </w:rPr>
              <w:t>Removes loose throw rugs; ensures lighting is accessible from pillow; adjusts bed height to prevent morning falls.</w:t>
            </w:r>
          </w:p>
        </w:tc>
      </w:tr>
      <w:tr>
        <w:tc>
          <w:tcPr>
            <w:tcW w:type="dxa" w:w="2592"/>
            <w:shd w:fill="F8F9FA"/>
            <w:tcMar>
              <w:top w:w="100" w:type="dxa"/>
              <w:bottom w:w="100" w:type="dxa"/>
              <w:left w:w="140" w:type="dxa"/>
              <w:right w:w="140" w:type="dxa"/>
            </w:tcMar>
          </w:tcPr>
          <w:p>
            <w:r>
              <w:rPr>
                <w:rFonts w:ascii="Segoe UI" w:hAnsi="Segoe UI"/>
                <w:b/>
                <w:color w:val="14825F"/>
                <w:sz w:val="18"/>
              </w:rPr>
              <w:t>Bathroom</w:t>
              <w:br/>
              <w:t>(Highest Risk)</w:t>
            </w:r>
          </w:p>
        </w:tc>
        <w:tc>
          <w:tcPr>
            <w:tcW w:type="dxa" w:w="3168"/>
            <w:shd w:fill="F8F9FA"/>
            <w:tcMar>
              <w:top w:w="100" w:type="dxa"/>
              <w:bottom w:w="100" w:type="dxa"/>
              <w:left w:w="140" w:type="dxa"/>
              <w:right w:w="140" w:type="dxa"/>
            </w:tcMar>
          </w:tcPr>
          <w:p>
            <w:r>
              <w:rPr>
                <w:rFonts w:ascii="Segoe UI" w:hAnsi="Segoe UI"/>
                <w:sz w:val="18"/>
              </w:rPr>
              <w:t>1. Grab bars near toilet &amp; shower</w:t>
              <w:br/>
              <w:t>2. Non-slip suction floor mats</w:t>
              <w:br/>
              <w:t>3. Night light / bright lighting</w:t>
            </w:r>
          </w:p>
        </w:tc>
        <w:tc>
          <w:tcPr>
            <w:tcW w:type="dxa" w:w="4320"/>
            <w:shd w:fill="F8F9FA"/>
            <w:tcMar>
              <w:top w:w="100" w:type="dxa"/>
              <w:bottom w:w="100" w:type="dxa"/>
              <w:left w:w="140" w:type="dxa"/>
              <w:right w:w="140" w:type="dxa"/>
            </w:tcMar>
          </w:tcPr>
          <w:p>
            <w:r>
              <w:rPr>
                <w:rFonts w:ascii="Segoe UI" w:hAnsi="Segoe UI"/>
                <w:sz w:val="18"/>
              </w:rPr>
              <w:t>Installs wall-anchored grab bars (not towel rails); prevents slipping on wet tiles; ensures safe midnight bathroom trips.</w:t>
            </w:r>
          </w:p>
        </w:tc>
      </w:tr>
      <w:tr>
        <w:tc>
          <w:tcPr>
            <w:tcW w:type="dxa" w:w="2592"/>
            <w:shd w:fill="FFFFFF"/>
            <w:tcMar>
              <w:top w:w="100" w:type="dxa"/>
              <w:bottom w:w="100" w:type="dxa"/>
              <w:left w:w="140" w:type="dxa"/>
              <w:right w:w="140" w:type="dxa"/>
            </w:tcMar>
          </w:tcPr>
          <w:p>
            <w:r>
              <w:rPr>
                <w:rFonts w:ascii="Segoe UI" w:hAnsi="Segoe UI"/>
                <w:b/>
                <w:color w:val="14825F"/>
                <w:sz w:val="18"/>
              </w:rPr>
              <w:t>Stairs</w:t>
            </w:r>
          </w:p>
        </w:tc>
        <w:tc>
          <w:tcPr>
            <w:tcW w:type="dxa" w:w="3168"/>
            <w:shd w:fill="FFFFFF"/>
            <w:tcMar>
              <w:top w:w="100" w:type="dxa"/>
              <w:bottom w:w="100" w:type="dxa"/>
              <w:left w:w="140" w:type="dxa"/>
              <w:right w:w="140" w:type="dxa"/>
            </w:tcMar>
          </w:tcPr>
          <w:p>
            <w:r>
              <w:rPr>
                <w:rFonts w:ascii="Segoe UI" w:hAnsi="Segoe UI"/>
                <w:sz w:val="18"/>
              </w:rPr>
              <w:t>1. Handrails on both sides</w:t>
              <w:br/>
              <w:t>2. Non-slip adhesive step treads</w:t>
              <w:br/>
              <w:t>3. Light switches at top &amp; bottom</w:t>
            </w:r>
          </w:p>
        </w:tc>
        <w:tc>
          <w:tcPr>
            <w:tcW w:type="dxa" w:w="4320"/>
            <w:shd w:fill="FFFFFF"/>
            <w:tcMar>
              <w:top w:w="100" w:type="dxa"/>
              <w:bottom w:w="100" w:type="dxa"/>
              <w:left w:w="140" w:type="dxa"/>
              <w:right w:w="140" w:type="dxa"/>
            </w:tcMar>
          </w:tcPr>
          <w:p>
            <w:r>
              <w:rPr>
                <w:rFonts w:ascii="Segoe UI" w:hAnsi="Segoe UI"/>
                <w:sz w:val="18"/>
              </w:rPr>
              <w:t>Provides dual continuous grip support; enhances step edge visibility; eliminates navigating stairways in the dark.</w:t>
            </w:r>
          </w:p>
        </w:tc>
      </w:tr>
      <w:tr>
        <w:tc>
          <w:tcPr>
            <w:tcW w:type="dxa" w:w="2592"/>
            <w:shd w:fill="F8F9FA"/>
            <w:tcMar>
              <w:top w:w="100" w:type="dxa"/>
              <w:bottom w:w="100" w:type="dxa"/>
              <w:left w:w="140" w:type="dxa"/>
              <w:right w:w="140" w:type="dxa"/>
            </w:tcMar>
          </w:tcPr>
          <w:p>
            <w:r>
              <w:rPr>
                <w:rFonts w:ascii="Segoe UI" w:hAnsi="Segoe UI"/>
                <w:b/>
                <w:color w:val="14825F"/>
                <w:sz w:val="18"/>
              </w:rPr>
              <w:t>Kitchen</w:t>
            </w:r>
          </w:p>
        </w:tc>
        <w:tc>
          <w:tcPr>
            <w:tcW w:type="dxa" w:w="3168"/>
            <w:shd w:fill="F8F9FA"/>
            <w:tcMar>
              <w:top w:w="100" w:type="dxa"/>
              <w:bottom w:w="100" w:type="dxa"/>
              <w:left w:w="140" w:type="dxa"/>
              <w:right w:w="140" w:type="dxa"/>
            </w:tcMar>
          </w:tcPr>
          <w:p>
            <w:r>
              <w:rPr>
                <w:rFonts w:ascii="Segoe UI" w:hAnsi="Segoe UI"/>
                <w:sz w:val="18"/>
              </w:rPr>
              <w:t>1. Daily items waist-to-shoulder</w:t>
              <w:br/>
              <w:t>2. Non-skid mat by sink</w:t>
              <w:br/>
              <w:t>3. Immediate wipe of liquid spills</w:t>
            </w:r>
          </w:p>
        </w:tc>
        <w:tc>
          <w:tcPr>
            <w:tcW w:type="dxa" w:w="4320"/>
            <w:shd w:fill="F8F9FA"/>
            <w:tcMar>
              <w:top w:w="100" w:type="dxa"/>
              <w:bottom w:w="100" w:type="dxa"/>
              <w:left w:w="140" w:type="dxa"/>
              <w:right w:w="140" w:type="dxa"/>
            </w:tcMar>
          </w:tcPr>
          <w:p>
            <w:r>
              <w:rPr>
                <w:rFonts w:ascii="Segoe UI" w:hAnsi="Segoe UI"/>
                <w:sz w:val="18"/>
              </w:rPr>
              <w:t>Prevents standing on unstable stools or overreaching; prevents slips near wet sink and cooking areas.</w:t>
            </w:r>
          </w:p>
        </w:tc>
      </w:tr>
      <w:tr>
        <w:tc>
          <w:tcPr>
            <w:tcW w:type="dxa" w:w="2592"/>
            <w:shd w:fill="FFFFFF"/>
            <w:tcMar>
              <w:top w:w="100" w:type="dxa"/>
              <w:bottom w:w="100" w:type="dxa"/>
              <w:left w:w="140" w:type="dxa"/>
              <w:right w:w="140" w:type="dxa"/>
            </w:tcMar>
          </w:tcPr>
          <w:p>
            <w:r>
              <w:rPr>
                <w:rFonts w:ascii="Segoe UI" w:hAnsi="Segoe UI"/>
                <w:b/>
                <w:color w:val="14825F"/>
                <w:sz w:val="18"/>
              </w:rPr>
              <w:t>Living Room</w:t>
            </w:r>
          </w:p>
        </w:tc>
        <w:tc>
          <w:tcPr>
            <w:tcW w:type="dxa" w:w="3168"/>
            <w:shd w:fill="FFFFFF"/>
            <w:tcMar>
              <w:top w:w="100" w:type="dxa"/>
              <w:bottom w:w="100" w:type="dxa"/>
              <w:left w:w="140" w:type="dxa"/>
              <w:right w:w="140" w:type="dxa"/>
            </w:tcMar>
          </w:tcPr>
          <w:p>
            <w:r>
              <w:rPr>
                <w:rFonts w:ascii="Segoe UI" w:hAnsi="Segoe UI"/>
                <w:sz w:val="18"/>
              </w:rPr>
              <w:t>1. Loose rugs taped or removed</w:t>
              <w:br/>
              <w:t>2. Cords routed along baseboards</w:t>
              <w:br/>
              <w:t>3. Clear paths between furniture</w:t>
            </w:r>
          </w:p>
        </w:tc>
        <w:tc>
          <w:tcPr>
            <w:tcW w:type="dxa" w:w="4320"/>
            <w:shd w:fill="FFFFFF"/>
            <w:tcMar>
              <w:top w:w="100" w:type="dxa"/>
              <w:bottom w:w="100" w:type="dxa"/>
              <w:left w:w="140" w:type="dxa"/>
              <w:right w:w="140" w:type="dxa"/>
            </w:tcMar>
          </w:tcPr>
          <w:p>
            <w:r>
              <w:rPr>
                <w:rFonts w:ascii="Segoe UI" w:hAnsi="Segoe UI"/>
                <w:sz w:val="18"/>
              </w:rPr>
              <w:t>Anchors rugs with double-sided tape; eliminates tripping on lamp/phone wires; ensures wide walking corridors.</w:t>
            </w:r>
          </w:p>
        </w:tc>
      </w:tr>
    </w:tbl>
    <w:p>
      <w:pPr>
        <w:spacing w:after="160"/>
      </w:pPr>
    </w:p>
    <w:p>
      <w:pPr>
        <w:keepNext/>
        <w:spacing w:before="320" w:after="120"/>
      </w:pPr>
      <w:r>
        <w:rPr>
          <w:rFonts w:ascii="Segoe UI" w:hAnsi="Segoe UI"/>
          <w:b/>
          <w:color w:val="D6265A"/>
          <w:sz w:val="32"/>
        </w:rPr>
        <w:t>4. Summary Reference Matrix</w:t>
      </w:r>
    </w:p>
    <w:tbl>
      <w:tblPr>
        <w:tblW w:type="auto" w:w="0"/>
        <w:jc w:val="center"/>
        <w:tblLayout w:type="fixed"/>
        <w:tblLook w:firstColumn="1" w:firstRow="1" w:lastColumn="0" w:lastRow="0" w:noHBand="0" w:noVBand="1" w:val="04A0"/>
      </w:tblPr>
      <w:tblGrid>
        <w:gridCol w:w="2880"/>
        <w:gridCol w:w="3456"/>
        <w:gridCol w:w="3744"/>
      </w:tblGrid>
      <w:tr>
        <w:tc>
          <w:tcPr>
            <w:tcW w:type="dxa" w:w="3360"/>
            <w:shd w:fill="2A2540"/>
            <w:tcMar>
              <w:top w:w="140" w:type="dxa"/>
              <w:bottom w:w="140" w:type="dxa"/>
              <w:left w:w="160" w:type="dxa"/>
              <w:right w:w="160" w:type="dxa"/>
            </w:tcMar>
          </w:tcPr>
          <w:p>
            <w:r>
              <w:rPr>
                <w:b/>
                <w:color w:val="FFFFFF"/>
                <w:sz w:val="19"/>
              </w:rPr>
              <w:t>Core Pillar</w:t>
            </w:r>
          </w:p>
        </w:tc>
        <w:tc>
          <w:tcPr>
            <w:tcW w:type="dxa" w:w="3360"/>
            <w:shd w:fill="2A2540"/>
            <w:tcMar>
              <w:top w:w="140" w:type="dxa"/>
              <w:bottom w:w="140" w:type="dxa"/>
              <w:left w:w="160" w:type="dxa"/>
              <w:right w:w="160" w:type="dxa"/>
            </w:tcMar>
          </w:tcPr>
          <w:p>
            <w:r>
              <w:rPr>
                <w:b/>
                <w:color w:val="FFFFFF"/>
                <w:sz w:val="19"/>
              </w:rPr>
              <w:t>BONE SIP Implementation</w:t>
            </w:r>
          </w:p>
        </w:tc>
        <w:tc>
          <w:tcPr>
            <w:tcW w:type="dxa" w:w="3360"/>
            <w:shd w:fill="2A2540"/>
            <w:tcMar>
              <w:top w:w="140" w:type="dxa"/>
              <w:bottom w:w="140" w:type="dxa"/>
              <w:left w:w="160" w:type="dxa"/>
              <w:right w:w="160" w:type="dxa"/>
            </w:tcMar>
          </w:tcPr>
          <w:p>
            <w:r>
              <w:rPr>
                <w:b/>
                <w:color w:val="FFFFFF"/>
                <w:sz w:val="19"/>
              </w:rPr>
              <w:t>Clinical / Evidence Source</w:t>
            </w:r>
          </w:p>
        </w:tc>
      </w:tr>
      <w:tr>
        <w:tc>
          <w:tcPr>
            <w:tcW w:type="dxa" w:w="2880"/>
            <w:shd w:fill="FFFFFF"/>
            <w:tcMar>
              <w:top w:w="100" w:type="dxa"/>
              <w:bottom w:w="100" w:type="dxa"/>
              <w:left w:w="140" w:type="dxa"/>
              <w:right w:w="140" w:type="dxa"/>
            </w:tcMar>
          </w:tcPr>
          <w:p>
            <w:r>
              <w:rPr>
                <w:rFonts w:ascii="Segoe UI" w:hAnsi="Segoe UI"/>
                <w:b/>
                <w:color w:val="D6265A"/>
                <w:sz w:val="18"/>
              </w:rPr>
              <w:t>AI Domain Knowledge</w:t>
            </w:r>
          </w:p>
        </w:tc>
        <w:tc>
          <w:tcPr>
            <w:tcW w:type="dxa" w:w="3456"/>
            <w:shd w:fill="FFFFFF"/>
            <w:tcMar>
              <w:top w:w="100" w:type="dxa"/>
              <w:bottom w:w="100" w:type="dxa"/>
              <w:left w:w="140" w:type="dxa"/>
              <w:right w:w="140" w:type="dxa"/>
            </w:tcMar>
          </w:tcPr>
          <w:p>
            <w:r>
              <w:rPr>
                <w:rFonts w:ascii="Segoe UI" w:hAnsi="Segoe UI"/>
                <w:sz w:val="18"/>
              </w:rPr>
              <w:t>Static prompt with safety rules, 10 filmed exercises, 100+ foods, and 8 disease models</w:t>
            </w:r>
          </w:p>
        </w:tc>
        <w:tc>
          <w:tcPr>
            <w:tcW w:type="dxa" w:w="3744"/>
            <w:shd w:fill="FFFFFF"/>
            <w:tcMar>
              <w:top w:w="100" w:type="dxa"/>
              <w:bottom w:w="100" w:type="dxa"/>
              <w:left w:w="140" w:type="dxa"/>
              <w:right w:w="140" w:type="dxa"/>
            </w:tcMar>
          </w:tcPr>
          <w:p>
            <w:r>
              <w:rPr>
                <w:rFonts w:ascii="Segoe UI" w:hAnsi="Segoe UI"/>
                <w:sz w:val="18"/>
              </w:rPr>
              <w:t>js/data.js and server/assistant.js</w:t>
            </w:r>
          </w:p>
        </w:tc>
      </w:tr>
      <w:tr>
        <w:tc>
          <w:tcPr>
            <w:tcW w:type="dxa" w:w="2880"/>
            <w:shd w:fill="F8F9FA"/>
            <w:tcMar>
              <w:top w:w="100" w:type="dxa"/>
              <w:bottom w:w="100" w:type="dxa"/>
              <w:left w:w="140" w:type="dxa"/>
              <w:right w:w="140" w:type="dxa"/>
            </w:tcMar>
          </w:tcPr>
          <w:p>
            <w:r>
              <w:rPr>
                <w:rFonts w:ascii="Segoe UI" w:hAnsi="Segoe UI"/>
                <w:b/>
                <w:color w:val="D6265A"/>
                <w:sz w:val="18"/>
              </w:rPr>
              <w:t>AI User Context Snapshot</w:t>
            </w:r>
          </w:p>
        </w:tc>
        <w:tc>
          <w:tcPr>
            <w:tcW w:type="dxa" w:w="3456"/>
            <w:shd w:fill="F8F9FA"/>
            <w:tcMar>
              <w:top w:w="100" w:type="dxa"/>
              <w:bottom w:w="100" w:type="dxa"/>
              <w:left w:w="140" w:type="dxa"/>
              <w:right w:w="140" w:type="dxa"/>
            </w:tcMar>
          </w:tcPr>
          <w:p>
            <w:r>
              <w:rPr>
                <w:rFonts w:ascii="Segoe UI" w:hAnsi="Segoe UI"/>
                <w:sz w:val="18"/>
              </w:rPr>
              <w:t>Live JSON with age, BMI, metabolic flags, 7-day adherence, and dynamic regional meal suggestions</w:t>
            </w:r>
          </w:p>
        </w:tc>
        <w:tc>
          <w:tcPr>
            <w:tcW w:type="dxa" w:w="3744"/>
            <w:shd w:fill="F8F9FA"/>
            <w:tcMar>
              <w:top w:w="100" w:type="dxa"/>
              <w:bottom w:w="100" w:type="dxa"/>
              <w:left w:w="140" w:type="dxa"/>
              <w:right w:w="140" w:type="dxa"/>
            </w:tcMar>
          </w:tcPr>
          <w:p>
            <w:r>
              <w:rPr>
                <w:rFonts w:ascii="Segoe UI" w:hAnsi="Segoe UI"/>
                <w:sz w:val="18"/>
              </w:rPr>
              <w:t>Dynamic context engine (buildSnapshot())</w:t>
            </w:r>
          </w:p>
        </w:tc>
      </w:tr>
      <w:tr>
        <w:tc>
          <w:tcPr>
            <w:tcW w:type="dxa" w:w="2880"/>
            <w:shd w:fill="FFFFFF"/>
            <w:tcMar>
              <w:top w:w="100" w:type="dxa"/>
              <w:bottom w:w="100" w:type="dxa"/>
              <w:left w:w="140" w:type="dxa"/>
              <w:right w:w="140" w:type="dxa"/>
            </w:tcMar>
          </w:tcPr>
          <w:p>
            <w:r>
              <w:rPr>
                <w:rFonts w:ascii="Segoe UI" w:hAnsi="Segoe UI"/>
                <w:b/>
                <w:color w:val="D6265A"/>
                <w:sz w:val="18"/>
              </w:rPr>
              <w:t>3-2-1 Nutrition Scaffolding</w:t>
            </w:r>
          </w:p>
        </w:tc>
        <w:tc>
          <w:tcPr>
            <w:tcW w:type="dxa" w:w="3456"/>
            <w:shd w:fill="FFFFFF"/>
            <w:tcMar>
              <w:top w:w="100" w:type="dxa"/>
              <w:bottom w:w="100" w:type="dxa"/>
              <w:left w:w="140" w:type="dxa"/>
              <w:right w:w="140" w:type="dxa"/>
            </w:tcMar>
          </w:tcPr>
          <w:p>
            <w:r>
              <w:rPr>
                <w:rFonts w:ascii="Segoe UI" w:hAnsi="Segoe UI"/>
                <w:sz w:val="18"/>
              </w:rPr>
              <w:t>3 calcium deposits (~1,200 mg), 2 protein anchors (1.0–1.2 g/kg), 1 D3 source + cofactor timing</w:t>
            </w:r>
          </w:p>
        </w:tc>
        <w:tc>
          <w:tcPr>
            <w:tcW w:type="dxa" w:w="3744"/>
            <w:shd w:fill="FFFFFF"/>
            <w:tcMar>
              <w:top w:w="100" w:type="dxa"/>
              <w:bottom w:w="100" w:type="dxa"/>
              <w:left w:w="140" w:type="dxa"/>
              <w:right w:w="140" w:type="dxa"/>
            </w:tcMar>
          </w:tcPr>
          <w:p>
            <w:r>
              <w:rPr>
                <w:rFonts w:ascii="Segoe UI" w:hAnsi="Segoe UI"/>
                <w:sz w:val="18"/>
              </w:rPr>
              <w:t>TRPV6 intestinal saturation kinetics &amp; Collagen matrix biology</w:t>
            </w:r>
          </w:p>
        </w:tc>
      </w:tr>
      <w:tr>
        <w:tc>
          <w:tcPr>
            <w:tcW w:type="dxa" w:w="2880"/>
            <w:shd w:fill="F8F9FA"/>
            <w:tcMar>
              <w:top w:w="100" w:type="dxa"/>
              <w:bottom w:w="100" w:type="dxa"/>
              <w:left w:w="140" w:type="dxa"/>
              <w:right w:w="140" w:type="dxa"/>
            </w:tcMar>
          </w:tcPr>
          <w:p>
            <w:r>
              <w:rPr>
                <w:rFonts w:ascii="Segoe UI" w:hAnsi="Segoe UI"/>
                <w:b/>
                <w:color w:val="D6265A"/>
                <w:sz w:val="18"/>
              </w:rPr>
              <w:t>Personal Fall Screening</w:t>
            </w:r>
          </w:p>
        </w:tc>
        <w:tc>
          <w:tcPr>
            <w:tcW w:type="dxa" w:w="3456"/>
            <w:shd w:fill="F8F9FA"/>
            <w:tcMar>
              <w:top w:w="100" w:type="dxa"/>
              <w:bottom w:w="100" w:type="dxa"/>
              <w:left w:w="140" w:type="dxa"/>
              <w:right w:w="140" w:type="dxa"/>
            </w:tcMar>
          </w:tcPr>
          <w:p>
            <w:r>
              <w:rPr>
                <w:rFonts w:ascii="Segoe UI" w:hAnsi="Segoe UI"/>
                <w:sz w:val="18"/>
              </w:rPr>
              <w:t>6 warning signs (falls, gait, dizziness, fear, vision, 4+ daily medications)</w:t>
            </w:r>
          </w:p>
        </w:tc>
        <w:tc>
          <w:tcPr>
            <w:tcW w:type="dxa" w:w="3744"/>
            <w:shd w:fill="F8F9FA"/>
            <w:tcMar>
              <w:top w:w="100" w:type="dxa"/>
              <w:bottom w:w="100" w:type="dxa"/>
              <w:left w:w="140" w:type="dxa"/>
              <w:right w:w="140" w:type="dxa"/>
            </w:tcMar>
          </w:tcPr>
          <w:p>
            <w:r>
              <w:rPr>
                <w:rFonts w:ascii="Segoe UI" w:hAnsi="Segoe UI"/>
                <w:sz w:val="18"/>
              </w:rPr>
              <w:t>CDC STEADI ("Stay Independent"), AGS/BGS, WHO ICOPE</w:t>
            </w:r>
          </w:p>
        </w:tc>
      </w:tr>
      <w:tr>
        <w:tc>
          <w:tcPr>
            <w:tcW w:type="dxa" w:w="2880"/>
            <w:shd w:fill="FFFFFF"/>
            <w:tcMar>
              <w:top w:w="100" w:type="dxa"/>
              <w:bottom w:w="100" w:type="dxa"/>
              <w:left w:w="140" w:type="dxa"/>
              <w:right w:w="140" w:type="dxa"/>
            </w:tcMar>
          </w:tcPr>
          <w:p>
            <w:r>
              <w:rPr>
                <w:rFonts w:ascii="Segoe UI" w:hAnsi="Segoe UI"/>
                <w:b/>
                <w:color w:val="D6265A"/>
                <w:sz w:val="18"/>
              </w:rPr>
              <w:t>5-Room Home Safety Audit</w:t>
            </w:r>
          </w:p>
        </w:tc>
        <w:tc>
          <w:tcPr>
            <w:tcW w:type="dxa" w:w="3456"/>
            <w:shd w:fill="FFFFFF"/>
            <w:tcMar>
              <w:top w:w="100" w:type="dxa"/>
              <w:bottom w:w="100" w:type="dxa"/>
              <w:left w:w="140" w:type="dxa"/>
              <w:right w:w="140" w:type="dxa"/>
            </w:tcMar>
          </w:tcPr>
          <w:p>
            <w:r>
              <w:rPr>
                <w:rFonts w:ascii="Segoe UI" w:hAnsi="Segoe UI"/>
                <w:sz w:val="18"/>
              </w:rPr>
              <w:t>15 hazard checkpoints across Bedroom, Bathroom, Stairs, Kitchen, and Living Area</w:t>
            </w:r>
          </w:p>
        </w:tc>
        <w:tc>
          <w:tcPr>
            <w:tcW w:type="dxa" w:w="3744"/>
            <w:shd w:fill="FFFFFF"/>
            <w:tcMar>
              <w:top w:w="100" w:type="dxa"/>
              <w:bottom w:w="100" w:type="dxa"/>
              <w:left w:w="140" w:type="dxa"/>
              <w:right w:w="140" w:type="dxa"/>
            </w:tcMar>
          </w:tcPr>
          <w:p>
            <w:r>
              <w:rPr>
                <w:rFonts w:ascii="Segoe UI" w:hAnsi="Segoe UI"/>
                <w:sz w:val="18"/>
              </w:rPr>
              <w:t>CDC STEADI ("Check for Safety"), NIA / NIH Guidelines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