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32D41"/>
          <w:sz w:val="36"/>
        </w:rPr>
        <w:t>BONE SIP Technical &amp; Clinical Framework</w:t>
      </w:r>
    </w:p>
    <w:p>
      <w:pPr>
        <w:spacing w:before="0" w:after="200"/>
      </w:pPr>
      <w:r>
        <w:rPr>
          <w:rFonts w:ascii="Calibri" w:hAnsi="Calibri"/>
          <w:color w:val="5A5F69"/>
          <w:sz w:val="19"/>
        </w:rPr>
        <w:t>Author: BONE SIP Engineering &amp; Clinical Nutrition Team | October 2026</w:t>
      </w:r>
    </w:p>
    <w:p>
      <w:pPr>
        <w:keepNext/>
        <w:spacing w:before="280" w:after="80"/>
      </w:pPr>
      <w:r>
        <w:rPr>
          <w:rFonts w:ascii="Calibri" w:hAnsi="Calibri"/>
          <w:b/>
          <w:color w:val="232D41"/>
          <w:sz w:val="28"/>
        </w:rPr>
        <w:t>1. AI Assistant Context Pipeline (server/assistant.js)</w:t>
      </w:r>
    </w:p>
    <w:p>
      <w:pPr>
        <w:spacing w:before="0" w:after="80" w:line="276" w:lineRule="auto"/>
      </w:pPr>
      <w:r>
        <w:rPr>
          <w:rFonts w:ascii="Calibri" w:hAnsi="Calibri"/>
          <w:color w:val="28282D"/>
          <w:sz w:val="20"/>
        </w:rPr>
        <w:t>BONE SIP uses a server-side handler for its AI guide (Ojas) in server/assistant.js that feeds completions to Groq's OpenAI-compatible API. To keep response latency low and prevent burning rate limits on repetitive tokens, the prompt architecture is split into a static cached domain prompt and a dynamic runtime snapshot generated on each turn.</w:t>
      </w:r>
    </w:p>
    <w:p>
      <w:pPr>
        <w:keepNext/>
        <w:spacing w:before="200" w:after="60"/>
      </w:pPr>
      <w:r>
        <w:rPr>
          <w:rFonts w:ascii="Calibri" w:hAnsi="Calibri"/>
          <w:b/>
          <w:color w:val="232D41"/>
          <w:sz w:val="23"/>
        </w:rPr>
        <w:t>1.1 Static Knowledge Prompt (buildKnowledgePrompt)</w:t>
      </w:r>
    </w:p>
    <w:p>
      <w:pPr>
        <w:spacing w:before="0" w:after="80" w:line="276" w:lineRule="auto"/>
      </w:pPr>
      <w:r>
        <w:rPr>
          <w:rFonts w:ascii="Calibri" w:hAnsi="Calibri"/>
          <w:color w:val="28282D"/>
          <w:sz w:val="20"/>
        </w:rPr>
        <w:t>The static prompt is built from js/data.js at server startup. Because the system instructions remain identical across sessions, the model provider caches the prefix. Key sections include:</w:t>
      </w:r>
    </w:p>
    <w:p>
      <w:pPr>
        <w:pStyle w:val="ListBullet"/>
        <w:spacing w:before="0" w:after="40" w:line="276" w:lineRule="auto"/>
      </w:pPr>
      <w:r>
        <w:rPr>
          <w:rFonts w:ascii="Calibri" w:hAnsi="Calibri"/>
          <w:b/>
          <w:color w:val="232D41"/>
          <w:sz w:val="20"/>
        </w:rPr>
        <w:t xml:space="preserve">Clinical boundaries &amp; emergency triage: </w:t>
      </w:r>
      <w:r>
        <w:rPr>
          <w:rFonts w:ascii="Calibri" w:hAnsi="Calibri"/>
          <w:color w:val="28282D"/>
          <w:sz w:val="20"/>
        </w:rPr>
        <w:t>The assistant explicitly disclaims physician status and is barred from prescribing medications, altering drug regimens, or recommending specific supplement dosages. If a user reports severe acute post-fall pain, inability to bear weight, sudden neurological symptoms, or chest tightness, it immediately directs them to Indian emergency services (112 or 108).</w:t>
      </w:r>
    </w:p>
    <w:p>
      <w:pPr>
        <w:pStyle w:val="ListBullet"/>
        <w:spacing w:before="0" w:after="40" w:line="276" w:lineRule="auto"/>
      </w:pPr>
      <w:r>
        <w:rPr>
          <w:rFonts w:ascii="Calibri" w:hAnsi="Calibri"/>
          <w:b/>
          <w:color w:val="232D41"/>
          <w:sz w:val="20"/>
        </w:rPr>
        <w:t xml:space="preserve">Exercise library: </w:t>
      </w:r>
      <w:r>
        <w:rPr>
          <w:rFonts w:ascii="Calibri" w:hAnsi="Calibri"/>
          <w:color w:val="28282D"/>
          <w:sz w:val="20"/>
        </w:rPr>
        <w:t>All 10 filmed exercises in js/data.js are cataloged across Strength (Chair Sit-to-Stand, Heel Raises), Balance (Single-Leg Stand, Tandem Walk), and Posture (Seated Band Pull-Apart), including form cues and skeletal targets (femoral neck, spine, distal radius).</w:t>
      </w:r>
    </w:p>
    <w:p>
      <w:pPr>
        <w:pStyle w:val="ListBullet"/>
        <w:spacing w:before="0" w:after="40" w:line="276" w:lineRule="auto"/>
      </w:pPr>
      <w:r>
        <w:rPr>
          <w:rFonts w:ascii="Calibri" w:hAnsi="Calibri"/>
          <w:b/>
          <w:color w:val="232D41"/>
          <w:sz w:val="20"/>
        </w:rPr>
        <w:t xml:space="preserve">Regional nutrition catalog: </w:t>
      </w:r>
      <w:r>
        <w:rPr>
          <w:rFonts w:ascii="Calibri" w:hAnsi="Calibri"/>
          <w:color w:val="28282D"/>
          <w:sz w:val="20"/>
        </w:rPr>
        <w:t>Nutrient mappings covering over 100 Indian dishes across North, South, West, East, and Continental cuisines, indexed in everyday Indian household units (katoris, rotis, tablespoons, glasses). Highlights high-calcium staples like finger millet (Ragi), unhulled sesame (Til), drumstick leaves (Moringa), poppy seeds (Khus Khus), paneer, and curd.</w:t>
      </w:r>
    </w:p>
    <w:p>
      <w:pPr>
        <w:pStyle w:val="ListBullet"/>
        <w:spacing w:before="0" w:after="40" w:line="276" w:lineRule="auto"/>
      </w:pPr>
      <w:r>
        <w:rPr>
          <w:rFonts w:ascii="Calibri" w:hAnsi="Calibri"/>
          <w:b/>
          <w:color w:val="232D41"/>
          <w:sz w:val="20"/>
        </w:rPr>
        <w:t xml:space="preserve">Metabolic disease rules: </w:t>
      </w:r>
      <w:r>
        <w:rPr>
          <w:rFonts w:ascii="Calibri" w:hAnsi="Calibri"/>
          <w:color w:val="28282D"/>
          <w:sz w:val="20"/>
        </w:rPr>
        <w:t>Diabetes (low-glycaemic millets and pulses; AGE reduction), Hypertension (DASH guidelines with &lt; 2,000 mg sodium/day to prevent hypercalciuria), Thyroid (4-hour spacing between morning levothyroxine and calcium), and allergy substitutions (dairy-free and nut-free replacements).</w:t>
      </w:r>
    </w:p>
    <w:p>
      <w:pPr>
        <w:pStyle w:val="ListBullet"/>
        <w:spacing w:before="0" w:after="40" w:line="276" w:lineRule="auto"/>
      </w:pPr>
      <w:r>
        <w:rPr>
          <w:rFonts w:ascii="Calibri" w:hAnsi="Calibri"/>
          <w:b/>
          <w:color w:val="232D41"/>
          <w:sz w:val="20"/>
        </w:rPr>
        <w:t xml:space="preserve">Action tag routing: </w:t>
      </w:r>
      <w:r>
        <w:rPr>
          <w:rFonts w:ascii="Calibri" w:hAnsi="Calibri"/>
          <w:color w:val="28282D"/>
          <w:sz w:val="20"/>
        </w:rPr>
        <w:t>Appends UI deep-link tags ([[action:open_diet]], [[action:start_workout]], [[action:open_report]]) so users can trigger direct in-app navigation.</w:t>
      </w:r>
    </w:p>
    <w:p>
      <w:pPr>
        <w:keepNext/>
        <w:spacing w:before="200" w:after="60"/>
      </w:pPr>
      <w:r>
        <w:rPr>
          <w:rFonts w:ascii="Calibri" w:hAnsi="Calibri"/>
          <w:b/>
          <w:color w:val="232D41"/>
          <w:sz w:val="23"/>
        </w:rPr>
        <w:t>1.2 Dynamic Runtime Snapshot (buildSnapshot)</w:t>
      </w:r>
    </w:p>
    <w:p>
      <w:pPr>
        <w:spacing w:before="0" w:after="80" w:line="276" w:lineRule="auto"/>
      </w:pPr>
      <w:r>
        <w:rPr>
          <w:rFonts w:ascii="Calibri" w:hAnsi="Calibri"/>
          <w:color w:val="28282D"/>
          <w:sz w:val="20"/>
        </w:rPr>
        <w:t>On every turn, the client serializes the active user state into a concise text block. This provides live context without multi-turn database lookups:</w:t>
      </w:r>
    </w:p>
    <w:tbl>
      <w:tblPr>
        <w:tblW w:type="auto" w:w="0"/>
        <w:jc w:val="center"/>
        <w:tblLayout w:type="fixed"/>
        <w:tblLook w:firstColumn="1" w:firstRow="1" w:lastColumn="0" w:lastRow="0" w:noHBand="0" w:noVBand="1" w:val="04A0"/>
      </w:tblPr>
      <w:tblGrid>
        <w:gridCol w:w="2592"/>
        <w:gridCol w:w="3168"/>
        <w:gridCol w:w="4176"/>
      </w:tblGrid>
      <w:tr>
        <w:tc>
          <w:tcPr>
            <w:tcW w:type="dxa" w:w="3312"/>
            <w:shd w:fill="232D41"/>
            <w:tcMar>
              <w:top w:w="100" w:type="dxa"/>
              <w:bottom w:w="100" w:type="dxa"/>
              <w:left w:w="120" w:type="dxa"/>
              <w:right w:w="120" w:type="dxa"/>
            </w:tcMar>
          </w:tcPr>
          <w:p>
            <w:r>
              <w:rPr>
                <w:rFonts w:ascii="Calibri" w:hAnsi="Calibri"/>
                <w:b/>
                <w:color w:val="FFFFFF"/>
                <w:sz w:val="18"/>
              </w:rPr>
              <w:t>Snapshot Parameter</w:t>
            </w:r>
          </w:p>
        </w:tc>
        <w:tc>
          <w:tcPr>
            <w:tcW w:type="dxa" w:w="3312"/>
            <w:shd w:fill="232D41"/>
            <w:tcMar>
              <w:top w:w="100" w:type="dxa"/>
              <w:bottom w:w="100" w:type="dxa"/>
              <w:left w:w="120" w:type="dxa"/>
              <w:right w:w="120" w:type="dxa"/>
            </w:tcMar>
          </w:tcPr>
          <w:p>
            <w:r>
              <w:rPr>
                <w:rFonts w:ascii="Calibri" w:hAnsi="Calibri"/>
                <w:b/>
                <w:color w:val="FFFFFF"/>
                <w:sz w:val="18"/>
              </w:rPr>
              <w:t>Example Payload</w:t>
            </w:r>
          </w:p>
        </w:tc>
        <w:tc>
          <w:tcPr>
            <w:tcW w:type="dxa" w:w="3312"/>
            <w:shd w:fill="232D41"/>
            <w:tcMar>
              <w:top w:w="100" w:type="dxa"/>
              <w:bottom w:w="100" w:type="dxa"/>
              <w:left w:w="120" w:type="dxa"/>
              <w:right w:w="120" w:type="dxa"/>
            </w:tcMar>
          </w:tcPr>
          <w:p>
            <w:r>
              <w:rPr>
                <w:rFonts w:ascii="Calibri" w:hAnsi="Calibri"/>
                <w:b/>
                <w:color w:val="FFFFFF"/>
                <w:sz w:val="18"/>
              </w:rPr>
              <w:t>Clinical / Routing Purpose</w:t>
            </w:r>
          </w:p>
        </w:tc>
      </w:tr>
      <w:tr>
        <w:tc>
          <w:tcPr>
            <w:tcW w:type="dxa" w:w="2592"/>
            <w:shd w:fill="FFFFFF"/>
            <w:tcMar>
              <w:top w:w="80" w:type="dxa"/>
              <w:bottom w:w="80" w:type="dxa"/>
              <w:left w:w="100" w:type="dxa"/>
              <w:right w:w="100" w:type="dxa"/>
            </w:tcMar>
          </w:tcPr>
          <w:p>
            <w:r>
              <w:rPr>
                <w:rFonts w:ascii="Calibri" w:hAnsi="Calibri"/>
                <w:b/>
                <w:color w:val="232D41"/>
                <w:sz w:val="17"/>
              </w:rPr>
              <w:t>Vitals &amp; Demographics</w:t>
            </w:r>
          </w:p>
        </w:tc>
        <w:tc>
          <w:tcPr>
            <w:tcW w:type="dxa" w:w="3168"/>
            <w:shd w:fill="FFFFFF"/>
            <w:tcMar>
              <w:top w:w="80" w:type="dxa"/>
              <w:bottom w:w="80" w:type="dxa"/>
              <w:left w:w="100" w:type="dxa"/>
              <w:right w:w="100" w:type="dxa"/>
            </w:tcMar>
          </w:tcPr>
          <w:p>
            <w:r>
              <w:rPr>
                <w:rFonts w:ascii="Calibri" w:hAnsi="Calibri"/>
                <w:sz w:val="17"/>
              </w:rPr>
              <w:t>Meera, 58 yrs, 158 cm, 62 kg, BMI 24.8</w:t>
            </w:r>
          </w:p>
        </w:tc>
        <w:tc>
          <w:tcPr>
            <w:tcW w:type="dxa" w:w="4176"/>
            <w:shd w:fill="FFFFFF"/>
            <w:tcMar>
              <w:top w:w="80" w:type="dxa"/>
              <w:bottom w:w="80" w:type="dxa"/>
              <w:left w:w="100" w:type="dxa"/>
              <w:right w:w="100" w:type="dxa"/>
            </w:tcMar>
          </w:tcPr>
          <w:p>
            <w:r>
              <w:rPr>
                <w:rFonts w:ascii="Calibri" w:hAnsi="Calibri"/>
                <w:sz w:val="17"/>
              </w:rPr>
              <w:t>Allows Ojas to compute personalized protein targets and adjust mobility recommendations.</w:t>
            </w:r>
          </w:p>
        </w:tc>
      </w:tr>
      <w:tr>
        <w:tc>
          <w:tcPr>
            <w:tcW w:type="dxa" w:w="2592"/>
            <w:shd w:fill="F4F6F8"/>
            <w:tcMar>
              <w:top w:w="80" w:type="dxa"/>
              <w:bottom w:w="80" w:type="dxa"/>
              <w:left w:w="100" w:type="dxa"/>
              <w:right w:w="100" w:type="dxa"/>
            </w:tcMar>
          </w:tcPr>
          <w:p>
            <w:r>
              <w:rPr>
                <w:rFonts w:ascii="Calibri" w:hAnsi="Calibri"/>
                <w:b/>
                <w:color w:val="232D41"/>
                <w:sz w:val="17"/>
              </w:rPr>
              <w:t>Cuisine &amp; Dietary Pattern</w:t>
            </w:r>
          </w:p>
        </w:tc>
        <w:tc>
          <w:tcPr>
            <w:tcW w:type="dxa" w:w="3168"/>
            <w:shd w:fill="F4F6F8"/>
            <w:tcMar>
              <w:top w:w="80" w:type="dxa"/>
              <w:bottom w:w="80" w:type="dxa"/>
              <w:left w:w="100" w:type="dxa"/>
              <w:right w:w="100" w:type="dxa"/>
            </w:tcMar>
          </w:tcPr>
          <w:p>
            <w:r>
              <w:rPr>
                <w:rFonts w:ascii="Calibri" w:hAnsi="Calibri"/>
                <w:sz w:val="17"/>
              </w:rPr>
              <w:t>South Indian | Vegetarian</w:t>
            </w:r>
          </w:p>
        </w:tc>
        <w:tc>
          <w:tcPr>
            <w:tcW w:type="dxa" w:w="4176"/>
            <w:shd w:fill="F4F6F8"/>
            <w:tcMar>
              <w:top w:w="80" w:type="dxa"/>
              <w:bottom w:w="80" w:type="dxa"/>
              <w:left w:w="100" w:type="dxa"/>
              <w:right w:w="100" w:type="dxa"/>
            </w:tcMar>
          </w:tcPr>
          <w:p>
            <w:r>
              <w:rPr>
                <w:rFonts w:ascii="Calibri" w:hAnsi="Calibri"/>
                <w:sz w:val="17"/>
              </w:rPr>
              <w:t>Ensures meal suggestions use regional staples (ragi, idli, sambar, curd, sesame).</w:t>
            </w:r>
          </w:p>
        </w:tc>
      </w:tr>
      <w:tr>
        <w:tc>
          <w:tcPr>
            <w:tcW w:type="dxa" w:w="2592"/>
            <w:shd w:fill="FFFFFF"/>
            <w:tcMar>
              <w:top w:w="80" w:type="dxa"/>
              <w:bottom w:w="80" w:type="dxa"/>
              <w:left w:w="100" w:type="dxa"/>
              <w:right w:w="100" w:type="dxa"/>
            </w:tcMar>
          </w:tcPr>
          <w:p>
            <w:r>
              <w:rPr>
                <w:rFonts w:ascii="Calibri" w:hAnsi="Calibri"/>
                <w:b/>
                <w:color w:val="232D41"/>
                <w:sz w:val="17"/>
              </w:rPr>
              <w:t>Active Health Flags</w:t>
            </w:r>
          </w:p>
        </w:tc>
        <w:tc>
          <w:tcPr>
            <w:tcW w:type="dxa" w:w="3168"/>
            <w:shd w:fill="FFFFFF"/>
            <w:tcMar>
              <w:top w:w="80" w:type="dxa"/>
              <w:bottom w:w="80" w:type="dxa"/>
              <w:left w:w="100" w:type="dxa"/>
              <w:right w:w="100" w:type="dxa"/>
            </w:tcMar>
          </w:tcPr>
          <w:p>
            <w:r>
              <w:rPr>
                <w:rFonts w:ascii="Calibri" w:hAnsi="Calibri"/>
                <w:sz w:val="17"/>
              </w:rPr>
              <w:t>['Hypertension', 'Thyroid']</w:t>
            </w:r>
          </w:p>
        </w:tc>
        <w:tc>
          <w:tcPr>
            <w:tcW w:type="dxa" w:w="4176"/>
            <w:shd w:fill="FFFFFF"/>
            <w:tcMar>
              <w:top w:w="80" w:type="dxa"/>
              <w:bottom w:w="80" w:type="dxa"/>
              <w:left w:w="100" w:type="dxa"/>
              <w:right w:w="100" w:type="dxa"/>
            </w:tcMar>
          </w:tcPr>
          <w:p>
            <w:r>
              <w:rPr>
                <w:rFonts w:ascii="Calibri" w:hAnsi="Calibri"/>
                <w:sz w:val="17"/>
              </w:rPr>
              <w:t>Enforces clinical rules (sodium limits, 4-hour levothyroxine spacing).</w:t>
            </w:r>
          </w:p>
        </w:tc>
      </w:tr>
      <w:tr>
        <w:tc>
          <w:tcPr>
            <w:tcW w:type="dxa" w:w="2592"/>
            <w:shd w:fill="F4F6F8"/>
            <w:tcMar>
              <w:top w:w="80" w:type="dxa"/>
              <w:bottom w:w="80" w:type="dxa"/>
              <w:left w:w="100" w:type="dxa"/>
              <w:right w:w="100" w:type="dxa"/>
            </w:tcMar>
          </w:tcPr>
          <w:p>
            <w:r>
              <w:rPr>
                <w:rFonts w:ascii="Calibri" w:hAnsi="Calibri"/>
                <w:b/>
                <w:color w:val="232D41"/>
                <w:sz w:val="17"/>
              </w:rPr>
              <w:t>Daily Bone Score</w:t>
            </w:r>
          </w:p>
        </w:tc>
        <w:tc>
          <w:tcPr>
            <w:tcW w:type="dxa" w:w="3168"/>
            <w:shd w:fill="F4F6F8"/>
            <w:tcMar>
              <w:top w:w="80" w:type="dxa"/>
              <w:bottom w:w="80" w:type="dxa"/>
              <w:left w:w="100" w:type="dxa"/>
              <w:right w:w="100" w:type="dxa"/>
            </w:tcMar>
          </w:tcPr>
          <w:p>
            <w:r>
              <w:rPr>
                <w:rFonts w:ascii="Calibri" w:hAnsi="Calibri"/>
                <w:sz w:val="17"/>
              </w:rPr>
              <w:t>72/100 (Active Capital Builder)</w:t>
            </w:r>
          </w:p>
        </w:tc>
        <w:tc>
          <w:tcPr>
            <w:tcW w:type="dxa" w:w="4176"/>
            <w:shd w:fill="F4F6F8"/>
            <w:tcMar>
              <w:top w:w="80" w:type="dxa"/>
              <w:bottom w:w="80" w:type="dxa"/>
              <w:left w:w="100" w:type="dxa"/>
              <w:right w:w="100" w:type="dxa"/>
            </w:tcMar>
          </w:tcPr>
          <w:p>
            <w:r>
              <w:rPr>
                <w:rFonts w:ascii="Calibri" w:hAnsi="Calibri"/>
                <w:sz w:val="17"/>
              </w:rPr>
              <w:t>Provides score context across Diet (32/40), Exercise (20/30), and Safety (10/20).</w:t>
            </w:r>
          </w:p>
        </w:tc>
      </w:tr>
      <w:tr>
        <w:tc>
          <w:tcPr>
            <w:tcW w:type="dxa" w:w="2592"/>
            <w:shd w:fill="FFFFFF"/>
            <w:tcMar>
              <w:top w:w="80" w:type="dxa"/>
              <w:bottom w:w="80" w:type="dxa"/>
              <w:left w:w="100" w:type="dxa"/>
              <w:right w:w="100" w:type="dxa"/>
            </w:tcMar>
          </w:tcPr>
          <w:p>
            <w:r>
              <w:rPr>
                <w:rFonts w:ascii="Calibri" w:hAnsi="Calibri"/>
                <w:b/>
                <w:color w:val="232D41"/>
                <w:sz w:val="17"/>
              </w:rPr>
              <w:t>Today's Adherence</w:t>
            </w:r>
          </w:p>
        </w:tc>
        <w:tc>
          <w:tcPr>
            <w:tcW w:type="dxa" w:w="3168"/>
            <w:shd w:fill="FFFFFF"/>
            <w:tcMar>
              <w:top w:w="80" w:type="dxa"/>
              <w:bottom w:w="80" w:type="dxa"/>
              <w:left w:w="100" w:type="dxa"/>
              <w:right w:w="100" w:type="dxa"/>
            </w:tcMar>
          </w:tcPr>
          <w:p>
            <w:r>
              <w:rPr>
                <w:rFonts w:ascii="Calibri" w:hAnsi="Calibri"/>
                <w:sz w:val="17"/>
              </w:rPr>
              <w:t>Breakfast &amp; Lunch ticked; Snack &amp; Dinner pending</w:t>
            </w:r>
          </w:p>
        </w:tc>
        <w:tc>
          <w:tcPr>
            <w:tcW w:type="dxa" w:w="4176"/>
            <w:shd w:fill="FFFFFF"/>
            <w:tcMar>
              <w:top w:w="80" w:type="dxa"/>
              <w:bottom w:w="80" w:type="dxa"/>
              <w:left w:w="100" w:type="dxa"/>
              <w:right w:w="100" w:type="dxa"/>
            </w:tcMar>
          </w:tcPr>
          <w:p>
            <w:r>
              <w:rPr>
                <w:rFonts w:ascii="Calibri" w:hAnsi="Calibri"/>
                <w:sz w:val="17"/>
              </w:rPr>
              <w:t>Enables Ojas to address remaining daily nutritional gaps accurately.</w:t>
            </w:r>
          </w:p>
        </w:tc>
      </w:tr>
      <w:tr>
        <w:tc>
          <w:tcPr>
            <w:tcW w:type="dxa" w:w="2592"/>
            <w:shd w:fill="F4F6F8"/>
            <w:tcMar>
              <w:top w:w="80" w:type="dxa"/>
              <w:bottom w:w="80" w:type="dxa"/>
              <w:left w:w="100" w:type="dxa"/>
              <w:right w:w="100" w:type="dxa"/>
            </w:tcMar>
          </w:tcPr>
          <w:p>
            <w:r>
              <w:rPr>
                <w:rFonts w:ascii="Calibri" w:hAnsi="Calibri"/>
                <w:b/>
                <w:color w:val="232D41"/>
                <w:sz w:val="17"/>
              </w:rPr>
              <w:t>Active Screen View</w:t>
            </w:r>
          </w:p>
        </w:tc>
        <w:tc>
          <w:tcPr>
            <w:tcW w:type="dxa" w:w="3168"/>
            <w:shd w:fill="F4F6F8"/>
            <w:tcMar>
              <w:top w:w="80" w:type="dxa"/>
              <w:bottom w:w="80" w:type="dxa"/>
              <w:left w:w="100" w:type="dxa"/>
              <w:right w:w="100" w:type="dxa"/>
            </w:tcMar>
          </w:tcPr>
          <w:p>
            <w:r>
              <w:rPr>
                <w:rFonts w:ascii="Calibri" w:hAnsi="Calibri"/>
                <w:sz w:val="17"/>
              </w:rPr>
              <w:t>Diet Tab / Workout Player</w:t>
            </w:r>
          </w:p>
        </w:tc>
        <w:tc>
          <w:tcPr>
            <w:tcW w:type="dxa" w:w="4176"/>
            <w:shd w:fill="F4F6F8"/>
            <w:tcMar>
              <w:top w:w="80" w:type="dxa"/>
              <w:bottom w:w="80" w:type="dxa"/>
              <w:left w:w="100" w:type="dxa"/>
              <w:right w:w="100" w:type="dxa"/>
            </w:tcMar>
          </w:tcPr>
          <w:p>
            <w:r>
              <w:rPr>
                <w:rFonts w:ascii="Calibri" w:hAnsi="Calibri"/>
                <w:sz w:val="17"/>
              </w:rPr>
              <w:t>Enables contextual dialogue based on what the user is currently viewing.</w:t>
            </w:r>
          </w:p>
        </w:tc>
      </w:tr>
    </w:tbl>
    <w:p>
      <w:pPr>
        <w:spacing w:after="80"/>
      </w:pPr>
    </w:p>
    <w:p>
      <w:pPr>
        <w:keepNext/>
        <w:spacing w:before="280" w:after="80"/>
      </w:pPr>
      <w:r>
        <w:rPr>
          <w:rFonts w:ascii="Calibri" w:hAnsi="Calibri"/>
          <w:b/>
          <w:color w:val="232D41"/>
          <w:sz w:val="28"/>
        </w:rPr>
        <w:t>2. The 3-2-1 Nutritional Model: Clinical Rationale</w:t>
      </w:r>
    </w:p>
    <w:p>
      <w:pPr>
        <w:spacing w:before="0" w:after="80" w:line="276" w:lineRule="auto"/>
      </w:pPr>
      <w:r>
        <w:rPr>
          <w:rFonts w:ascii="Calibri" w:hAnsi="Calibri"/>
          <w:color w:val="28282D"/>
          <w:sz w:val="20"/>
        </w:rPr>
        <w:t>The 3-2-1 rule is BONE SIP's daily nutrition baseline for adults aged 50 and above: 3 Calcium Servings (~1,000–1,200 mg/day), 2 Protein Portions (1.0–1.2 g/kg body weight/day), and 1 Vitamin D3 Source (15–20 min safe sunlight or clinical supplement).</w:t>
      </w:r>
    </w:p>
    <w:p>
      <w:pPr>
        <w:keepNext/>
        <w:spacing w:before="200" w:after="60"/>
      </w:pPr>
      <w:r>
        <w:rPr>
          <w:rFonts w:ascii="Calibri" w:hAnsi="Calibri"/>
          <w:b/>
          <w:color w:val="232D41"/>
          <w:sz w:val="23"/>
        </w:rPr>
        <w:t>2.1 Why 3 Calcium Servings? (Intestinal Transport Kinetics)</w:t>
      </w:r>
    </w:p>
    <w:p>
      <w:pPr>
        <w:spacing w:before="0" w:after="80" w:line="276" w:lineRule="auto"/>
      </w:pPr>
      <w:r>
        <w:rPr>
          <w:rFonts w:ascii="Calibri" w:hAnsi="Calibri"/>
          <w:color w:val="28282D"/>
          <w:sz w:val="20"/>
        </w:rPr>
        <w:t>Active intestinal calcium absorption occurs in the duodenum and upper jejunum via TRPV6 channels and calbindin-D9k. Kinetic studies (Heaney et al., 1988) show that active transport saturates when single-dose elemental calcium exceeds 400–500 mg. Consuming 1,000–1,200 mg in a single meal or tablet causes fractional absorption to drop significantly. Dividing intake across 3 meal occasions (Breakfast, Lunch, and Dinner/Snack) ensures the saturable carrier system operates at optimal efficiency throughout the day.</w:t>
      </w:r>
    </w:p>
    <w:p>
      <w:pPr>
        <w:keepNext/>
        <w:spacing w:before="200" w:after="60"/>
      </w:pPr>
      <w:r>
        <w:rPr>
          <w:rFonts w:ascii="Calibri" w:hAnsi="Calibri"/>
          <w:b/>
          <w:color w:val="232D41"/>
          <w:sz w:val="23"/>
        </w:rPr>
        <w:t>2.2 Why 2 Protein Portions? (Type-I Collagen Matrix)</w:t>
      </w:r>
    </w:p>
    <w:p>
      <w:pPr>
        <w:spacing w:before="0" w:after="80" w:line="276" w:lineRule="auto"/>
      </w:pPr>
      <w:r>
        <w:rPr>
          <w:rFonts w:ascii="Calibri" w:hAnsi="Calibri"/>
          <w:color w:val="28282D"/>
          <w:sz w:val="20"/>
        </w:rPr>
        <w:t>Bone is approximately 50% protein by volume, primarily structured as a Type-I collagen matrix upon which hydroxyapatite crystals deposit (Bonjour, 2005). Dietary protein intake of 1.0–1.2 g/kg/day supports circulating Insulin-like Growth Factor 1 (IGF-1), which stimulates osteoblast activity and renal tubular calcium reabsorption. In aging adults, adequate protein also preserves muscle mass (countering sarcopenia), maintaining physical strength to prevent falls.</w:t>
      </w:r>
    </w:p>
    <w:p>
      <w:pPr>
        <w:keepNext/>
        <w:spacing w:before="200" w:after="60"/>
      </w:pPr>
      <w:r>
        <w:rPr>
          <w:rFonts w:ascii="Calibri" w:hAnsi="Calibri"/>
          <w:b/>
          <w:color w:val="232D41"/>
          <w:sz w:val="23"/>
        </w:rPr>
        <w:t>2.3 Why 1 Vitamin D3 Source? (Active Transport Regulation)</w:t>
      </w:r>
    </w:p>
    <w:p>
      <w:pPr>
        <w:spacing w:before="0" w:after="80" w:line="276" w:lineRule="auto"/>
      </w:pPr>
      <w:r>
        <w:rPr>
          <w:rFonts w:ascii="Calibri" w:hAnsi="Calibri"/>
          <w:color w:val="28282D"/>
          <w:sz w:val="20"/>
        </w:rPr>
        <w:t>Vitamin D is required for the synthesis of calbindin-D9k. Without sufficient 1,25-dihydroxyvitamin D, intestinal calcium absorption falls below 10–15% (Holick, 2007). BONE SIP tracks either 15–20 minutes of daily mid-morning sun exposure on arms and legs (between 10:00 AM and 1:00 PM for peak UVB) or a clinical oral supplement prescribed by the user's doctor.</w:t>
      </w:r>
    </w:p>
    <w:p>
      <w:pPr>
        <w:keepNext/>
        <w:spacing w:before="200" w:after="60"/>
      </w:pPr>
      <w:r>
        <w:rPr>
          <w:rFonts w:ascii="Calibri" w:hAnsi="Calibri"/>
          <w:b/>
          <w:color w:val="232D41"/>
          <w:sz w:val="23"/>
        </w:rPr>
        <w:t>2.4 Meal Timing &amp; Absorption Guardrails</w:t>
      </w:r>
    </w:p>
    <w:p>
      <w:pPr>
        <w:pStyle w:val="ListBullet"/>
        <w:spacing w:before="0" w:after="40" w:line="276" w:lineRule="auto"/>
      </w:pPr>
      <w:r>
        <w:rPr>
          <w:rFonts w:ascii="Calibri" w:hAnsi="Calibri"/>
          <w:b/>
          <w:color w:val="232D41"/>
          <w:sz w:val="20"/>
        </w:rPr>
        <w:t xml:space="preserve">Levothyroxine (Thyroid) Spacing: </w:t>
      </w:r>
      <w:r>
        <w:rPr>
          <w:rFonts w:ascii="Calibri" w:hAnsi="Calibri"/>
          <w:color w:val="28282D"/>
          <w:sz w:val="20"/>
        </w:rPr>
        <w:t>Calcium carbonate and dietary calcium bind to levothyroxine in the stomach, forming unabsorbable chelates (Singh et al., 2000). The app enforces taking thyroid medication first thing in the morning with water, spacing all calcium intake at least 4 hours later.</w:t>
      </w:r>
    </w:p>
    <w:p>
      <w:pPr>
        <w:pStyle w:val="ListBullet"/>
        <w:spacing w:before="0" w:after="40" w:line="276" w:lineRule="auto"/>
      </w:pPr>
      <w:r>
        <w:rPr>
          <w:rFonts w:ascii="Calibri" w:hAnsi="Calibri"/>
          <w:b/>
          <w:color w:val="232D41"/>
          <w:sz w:val="20"/>
        </w:rPr>
        <w:t xml:space="preserve">Tea and Coffee Tannins: </w:t>
      </w:r>
      <w:r>
        <w:rPr>
          <w:rFonts w:ascii="Calibri" w:hAnsi="Calibri"/>
          <w:color w:val="28282D"/>
          <w:sz w:val="20"/>
        </w:rPr>
        <w:t>Polyphenols and phytates in Indian chai bind divalent cations. The app recommends separating tea or coffee by at least 1 hour from calcium-rich meals.</w:t>
      </w:r>
    </w:p>
    <w:p>
      <w:pPr>
        <w:pStyle w:val="ListBullet"/>
        <w:spacing w:before="0" w:after="40" w:line="276" w:lineRule="auto"/>
      </w:pPr>
      <w:r>
        <w:rPr>
          <w:rFonts w:ascii="Calibri" w:hAnsi="Calibri"/>
          <w:b/>
          <w:color w:val="232D41"/>
          <w:sz w:val="20"/>
        </w:rPr>
        <w:t xml:space="preserve">Sodium and Hypercalciuria: </w:t>
      </w:r>
      <w:r>
        <w:rPr>
          <w:rFonts w:ascii="Calibri" w:hAnsi="Calibri"/>
          <w:color w:val="28282D"/>
          <w:sz w:val="20"/>
        </w:rPr>
        <w:t>High sodium intake shares proximal renal clearance pathways with calcium, increasing urinary calcium loss. Daily recipes are formulated with moderate sodium to prevent silent calcium wasting.</w:t>
      </w:r>
    </w:p>
    <w:p>
      <w:pPr>
        <w:keepNext/>
        <w:spacing w:before="280" w:after="80"/>
      </w:pPr>
      <w:r>
        <w:rPr>
          <w:rFonts w:ascii="Calibri" w:hAnsi="Calibri"/>
          <w:b/>
          <w:color w:val="232D41"/>
          <w:sz w:val="28"/>
        </w:rPr>
        <w:t>3. Fall Risk Screening &amp; Home Hazard Assessment</w:t>
      </w:r>
    </w:p>
    <w:p>
      <w:pPr>
        <w:spacing w:before="0" w:after="80" w:line="276" w:lineRule="auto"/>
      </w:pPr>
      <w:r>
        <w:rPr>
          <w:rFonts w:ascii="Calibri" w:hAnsi="Calibri"/>
          <w:color w:val="28282D"/>
          <w:sz w:val="20"/>
        </w:rPr>
        <w:t>Falls account for the majority of non-vertebral fractures in older adults. BONE SIP's Protect module implements a two-stage screening tool based on validated clinical guidelines.</w:t>
      </w:r>
    </w:p>
    <w:p>
      <w:pPr>
        <w:keepNext/>
        <w:spacing w:before="200" w:after="60"/>
      </w:pPr>
      <w:r>
        <w:rPr>
          <w:rFonts w:ascii="Calibri" w:hAnsi="Calibri"/>
          <w:b/>
          <w:color w:val="232D41"/>
          <w:sz w:val="23"/>
        </w:rPr>
        <w:t>3.1 Personal Fall Risk Screening (6 Clinical Warning Signs)</w:t>
      </w:r>
    </w:p>
    <w:p>
      <w:pPr>
        <w:spacing w:before="0" w:after="80" w:line="276" w:lineRule="auto"/>
      </w:pPr>
      <w:r>
        <w:rPr>
          <w:rFonts w:ascii="Calibri" w:hAnsi="Calibri"/>
          <w:color w:val="28282D"/>
          <w:sz w:val="20"/>
        </w:rPr>
        <w:t>Adapted from the CDC STEADI (Stopping Elderly Accidents, Deaths, &amp; Injuries) screening algorithm ("Stay Independent" tool; Stevens et al., 2014) and the American Geriatrics Society / British Geriatrics Society (AGS/BGS) clinical practice guidelines:</w:t>
      </w:r>
    </w:p>
    <w:tbl>
      <w:tblPr>
        <w:tblW w:type="auto" w:w="0"/>
        <w:jc w:val="center"/>
        <w:tblLayout w:type="fixed"/>
        <w:tblLook w:firstColumn="1" w:firstRow="1" w:lastColumn="0" w:lastRow="0" w:noHBand="0" w:noVBand="1" w:val="04A0"/>
      </w:tblPr>
      <w:tblGrid>
        <w:gridCol w:w="2592"/>
        <w:gridCol w:w="3168"/>
        <w:gridCol w:w="4176"/>
      </w:tblGrid>
      <w:tr>
        <w:tc>
          <w:tcPr>
            <w:tcW w:type="dxa" w:w="3312"/>
            <w:shd w:fill="232D41"/>
            <w:tcMar>
              <w:top w:w="100" w:type="dxa"/>
              <w:bottom w:w="100" w:type="dxa"/>
              <w:left w:w="120" w:type="dxa"/>
              <w:right w:w="120" w:type="dxa"/>
            </w:tcMar>
          </w:tcPr>
          <w:p>
            <w:r>
              <w:rPr>
                <w:rFonts w:ascii="Calibri" w:hAnsi="Calibri"/>
                <w:b/>
                <w:color w:val="FFFFFF"/>
                <w:sz w:val="18"/>
              </w:rPr>
              <w:t>Clinical Factor</w:t>
            </w:r>
          </w:p>
        </w:tc>
        <w:tc>
          <w:tcPr>
            <w:tcW w:type="dxa" w:w="3312"/>
            <w:shd w:fill="232D41"/>
            <w:tcMar>
              <w:top w:w="100" w:type="dxa"/>
              <w:bottom w:w="100" w:type="dxa"/>
              <w:left w:w="120" w:type="dxa"/>
              <w:right w:w="120" w:type="dxa"/>
            </w:tcMar>
          </w:tcPr>
          <w:p>
            <w:r>
              <w:rPr>
                <w:rFonts w:ascii="Calibri" w:hAnsi="Calibri"/>
                <w:b/>
                <w:color w:val="FFFFFF"/>
                <w:sz w:val="18"/>
              </w:rPr>
              <w:t>Screening Item</w:t>
            </w:r>
          </w:p>
        </w:tc>
        <w:tc>
          <w:tcPr>
            <w:tcW w:type="dxa" w:w="3312"/>
            <w:shd w:fill="232D41"/>
            <w:tcMar>
              <w:top w:w="100" w:type="dxa"/>
              <w:bottom w:w="100" w:type="dxa"/>
              <w:left w:w="120" w:type="dxa"/>
              <w:right w:w="120" w:type="dxa"/>
            </w:tcMar>
          </w:tcPr>
          <w:p>
            <w:r>
              <w:rPr>
                <w:rFonts w:ascii="Calibri" w:hAnsi="Calibri"/>
                <w:b/>
                <w:color w:val="FFFFFF"/>
                <w:sz w:val="18"/>
              </w:rPr>
              <w:t>Clinical Rationale &amp; Evidence Base</w:t>
            </w:r>
          </w:p>
        </w:tc>
      </w:tr>
      <w:tr>
        <w:tc>
          <w:tcPr>
            <w:tcW w:type="dxa" w:w="2592"/>
            <w:shd w:fill="FFFFFF"/>
            <w:tcMar>
              <w:top w:w="80" w:type="dxa"/>
              <w:bottom w:w="80" w:type="dxa"/>
              <w:left w:w="100" w:type="dxa"/>
              <w:right w:w="100" w:type="dxa"/>
            </w:tcMar>
          </w:tcPr>
          <w:p>
            <w:r>
              <w:rPr>
                <w:rFonts w:ascii="Calibri" w:hAnsi="Calibri"/>
                <w:b/>
                <w:color w:val="232D41"/>
                <w:sz w:val="17"/>
              </w:rPr>
              <w:t>Prior Fall History</w:t>
            </w:r>
          </w:p>
        </w:tc>
        <w:tc>
          <w:tcPr>
            <w:tcW w:type="dxa" w:w="3168"/>
            <w:shd w:fill="FFFFFF"/>
            <w:tcMar>
              <w:top w:w="80" w:type="dxa"/>
              <w:bottom w:w="80" w:type="dxa"/>
              <w:left w:w="100" w:type="dxa"/>
              <w:right w:w="100" w:type="dxa"/>
            </w:tcMar>
          </w:tcPr>
          <w:p>
            <w:r>
              <w:rPr>
                <w:rFonts w:ascii="Calibri" w:hAnsi="Calibri"/>
                <w:sz w:val="17"/>
              </w:rPr>
              <w:t>Fell in the last year (risk_fall)</w:t>
            </w:r>
          </w:p>
        </w:tc>
        <w:tc>
          <w:tcPr>
            <w:tcW w:type="dxa" w:w="4176"/>
            <w:shd w:fill="FFFFFF"/>
            <w:tcMar>
              <w:top w:w="80" w:type="dxa"/>
              <w:bottom w:w="80" w:type="dxa"/>
              <w:left w:w="100" w:type="dxa"/>
              <w:right w:w="100" w:type="dxa"/>
            </w:tcMar>
          </w:tcPr>
          <w:p>
            <w:r>
              <w:rPr>
                <w:rFonts w:ascii="Calibri" w:hAnsi="Calibri"/>
                <w:sz w:val="17"/>
              </w:rPr>
              <w:t>A previous fall within the past 12 months is the single strongest clinical predictor of a future fall.</w:t>
            </w:r>
          </w:p>
        </w:tc>
      </w:tr>
      <w:tr>
        <w:tc>
          <w:tcPr>
            <w:tcW w:type="dxa" w:w="2592"/>
            <w:shd w:fill="F4F6F8"/>
            <w:tcMar>
              <w:top w:w="80" w:type="dxa"/>
              <w:bottom w:w="80" w:type="dxa"/>
              <w:left w:w="100" w:type="dxa"/>
              <w:right w:w="100" w:type="dxa"/>
            </w:tcMar>
          </w:tcPr>
          <w:p>
            <w:r>
              <w:rPr>
                <w:rFonts w:ascii="Calibri" w:hAnsi="Calibri"/>
                <w:b/>
                <w:color w:val="232D41"/>
                <w:sz w:val="17"/>
              </w:rPr>
              <w:t>Gait / Balance Deficit</w:t>
            </w:r>
          </w:p>
        </w:tc>
        <w:tc>
          <w:tcPr>
            <w:tcW w:type="dxa" w:w="3168"/>
            <w:shd w:fill="F4F6F8"/>
            <w:tcMar>
              <w:top w:w="80" w:type="dxa"/>
              <w:bottom w:w="80" w:type="dxa"/>
              <w:left w:w="100" w:type="dxa"/>
              <w:right w:w="100" w:type="dxa"/>
            </w:tcMar>
          </w:tcPr>
          <w:p>
            <w:r>
              <w:rPr>
                <w:rFonts w:ascii="Calibri" w:hAnsi="Calibri"/>
                <w:sz w:val="17"/>
              </w:rPr>
              <w:t>Unsteady walking (risk_unsteady)</w:t>
            </w:r>
          </w:p>
        </w:tc>
        <w:tc>
          <w:tcPr>
            <w:tcW w:type="dxa" w:w="4176"/>
            <w:shd w:fill="F4F6F8"/>
            <w:tcMar>
              <w:top w:w="80" w:type="dxa"/>
              <w:bottom w:w="80" w:type="dxa"/>
              <w:left w:w="100" w:type="dxa"/>
              <w:right w:w="100" w:type="dxa"/>
            </w:tcMar>
          </w:tcPr>
          <w:p>
            <w:r>
              <w:rPr>
                <w:rFonts w:ascii="Calibri" w:hAnsi="Calibri"/>
                <w:sz w:val="17"/>
              </w:rPr>
              <w:t>Screens for lower-extremity weakness, gait asymmetry, and proprioceptive deficits.</w:t>
            </w:r>
          </w:p>
        </w:tc>
      </w:tr>
      <w:tr>
        <w:tc>
          <w:tcPr>
            <w:tcW w:type="dxa" w:w="2592"/>
            <w:shd w:fill="FFFFFF"/>
            <w:tcMar>
              <w:top w:w="80" w:type="dxa"/>
              <w:bottom w:w="80" w:type="dxa"/>
              <w:left w:w="100" w:type="dxa"/>
              <w:right w:w="100" w:type="dxa"/>
            </w:tcMar>
          </w:tcPr>
          <w:p>
            <w:r>
              <w:rPr>
                <w:rFonts w:ascii="Calibri" w:hAnsi="Calibri"/>
                <w:b/>
                <w:color w:val="232D41"/>
                <w:sz w:val="17"/>
              </w:rPr>
              <w:t>Orthostatic Dizziness</w:t>
            </w:r>
          </w:p>
        </w:tc>
        <w:tc>
          <w:tcPr>
            <w:tcW w:type="dxa" w:w="3168"/>
            <w:shd w:fill="FFFFFF"/>
            <w:tcMar>
              <w:top w:w="80" w:type="dxa"/>
              <w:bottom w:w="80" w:type="dxa"/>
              <w:left w:w="100" w:type="dxa"/>
              <w:right w:w="100" w:type="dxa"/>
            </w:tcMar>
          </w:tcPr>
          <w:p>
            <w:r>
              <w:rPr>
                <w:rFonts w:ascii="Calibri" w:hAnsi="Calibri"/>
                <w:sz w:val="17"/>
              </w:rPr>
              <w:t>Dizziness when standing (risk_dizziness)</w:t>
            </w:r>
          </w:p>
        </w:tc>
        <w:tc>
          <w:tcPr>
            <w:tcW w:type="dxa" w:w="4176"/>
            <w:shd w:fill="FFFFFF"/>
            <w:tcMar>
              <w:top w:w="80" w:type="dxa"/>
              <w:bottom w:w="80" w:type="dxa"/>
              <w:left w:w="100" w:type="dxa"/>
              <w:right w:w="100" w:type="dxa"/>
            </w:tcMar>
          </w:tcPr>
          <w:p>
            <w:r>
              <w:rPr>
                <w:rFonts w:ascii="Calibri" w:hAnsi="Calibri"/>
                <w:sz w:val="17"/>
              </w:rPr>
              <w:t>Identifies potential orthostatic hypotension or vestibular dysfunction.</w:t>
            </w:r>
          </w:p>
        </w:tc>
      </w:tr>
      <w:tr>
        <w:tc>
          <w:tcPr>
            <w:tcW w:type="dxa" w:w="2592"/>
            <w:shd w:fill="F4F6F8"/>
            <w:tcMar>
              <w:top w:w="80" w:type="dxa"/>
              <w:bottom w:w="80" w:type="dxa"/>
              <w:left w:w="100" w:type="dxa"/>
              <w:right w:w="100" w:type="dxa"/>
            </w:tcMar>
          </w:tcPr>
          <w:p>
            <w:r>
              <w:rPr>
                <w:rFonts w:ascii="Calibri" w:hAnsi="Calibri"/>
                <w:b/>
                <w:color w:val="232D41"/>
                <w:sz w:val="17"/>
              </w:rPr>
              <w:t>Fear of Falling</w:t>
            </w:r>
          </w:p>
        </w:tc>
        <w:tc>
          <w:tcPr>
            <w:tcW w:type="dxa" w:w="3168"/>
            <w:shd w:fill="F4F6F8"/>
            <w:tcMar>
              <w:top w:w="80" w:type="dxa"/>
              <w:bottom w:w="80" w:type="dxa"/>
              <w:left w:w="100" w:type="dxa"/>
              <w:right w:w="100" w:type="dxa"/>
            </w:tcMar>
          </w:tcPr>
          <w:p>
            <w:r>
              <w:rPr>
                <w:rFonts w:ascii="Calibri" w:hAnsi="Calibri"/>
                <w:sz w:val="17"/>
              </w:rPr>
              <w:t>Fear of falling (risk_fear)</w:t>
            </w:r>
          </w:p>
        </w:tc>
        <w:tc>
          <w:tcPr>
            <w:tcW w:type="dxa" w:w="4176"/>
            <w:shd w:fill="F4F6F8"/>
            <w:tcMar>
              <w:top w:w="80" w:type="dxa"/>
              <w:bottom w:w="80" w:type="dxa"/>
              <w:left w:w="100" w:type="dxa"/>
              <w:right w:w="100" w:type="dxa"/>
            </w:tcMar>
          </w:tcPr>
          <w:p>
            <w:r>
              <w:rPr>
                <w:rFonts w:ascii="Calibri" w:hAnsi="Calibri"/>
                <w:sz w:val="17"/>
              </w:rPr>
              <w:t>Detects self-limiting activity avoidance (kinesiophobia), which leads to deconditioning and muscle atrophy.</w:t>
            </w:r>
          </w:p>
        </w:tc>
      </w:tr>
      <w:tr>
        <w:tc>
          <w:tcPr>
            <w:tcW w:type="dxa" w:w="2592"/>
            <w:shd w:fill="FFFFFF"/>
            <w:tcMar>
              <w:top w:w="80" w:type="dxa"/>
              <w:bottom w:w="80" w:type="dxa"/>
              <w:left w:w="100" w:type="dxa"/>
              <w:right w:w="100" w:type="dxa"/>
            </w:tcMar>
          </w:tcPr>
          <w:p>
            <w:r>
              <w:rPr>
                <w:rFonts w:ascii="Calibri" w:hAnsi="Calibri"/>
                <w:b/>
                <w:color w:val="232D41"/>
                <w:sz w:val="17"/>
              </w:rPr>
              <w:t>Visual Impairment</w:t>
            </w:r>
          </w:p>
        </w:tc>
        <w:tc>
          <w:tcPr>
            <w:tcW w:type="dxa" w:w="3168"/>
            <w:shd w:fill="FFFFFF"/>
            <w:tcMar>
              <w:top w:w="80" w:type="dxa"/>
              <w:bottom w:w="80" w:type="dxa"/>
              <w:left w:w="100" w:type="dxa"/>
              <w:right w:w="100" w:type="dxa"/>
            </w:tcMar>
          </w:tcPr>
          <w:p>
            <w:r>
              <w:rPr>
                <w:rFonts w:ascii="Calibri" w:hAnsi="Calibri"/>
                <w:sz w:val="17"/>
              </w:rPr>
              <w:t>Vision problems (risk_vision)</w:t>
            </w:r>
          </w:p>
        </w:tc>
        <w:tc>
          <w:tcPr>
            <w:tcW w:type="dxa" w:w="4176"/>
            <w:shd w:fill="FFFFFF"/>
            <w:tcMar>
              <w:top w:w="80" w:type="dxa"/>
              <w:bottom w:w="80" w:type="dxa"/>
              <w:left w:w="100" w:type="dxa"/>
              <w:right w:w="100" w:type="dxa"/>
            </w:tcMar>
          </w:tcPr>
          <w:p>
            <w:r>
              <w:rPr>
                <w:rFonts w:ascii="Calibri" w:hAnsi="Calibri"/>
                <w:sz w:val="17"/>
              </w:rPr>
              <w:t>Flags reduced visual acuity and contrast sensitivity, common causes of misjudging steps.</w:t>
            </w:r>
          </w:p>
        </w:tc>
      </w:tr>
      <w:tr>
        <w:tc>
          <w:tcPr>
            <w:tcW w:type="dxa" w:w="2592"/>
            <w:shd w:fill="F4F6F8"/>
            <w:tcMar>
              <w:top w:w="80" w:type="dxa"/>
              <w:bottom w:w="80" w:type="dxa"/>
              <w:left w:w="100" w:type="dxa"/>
              <w:right w:w="100" w:type="dxa"/>
            </w:tcMar>
          </w:tcPr>
          <w:p>
            <w:r>
              <w:rPr>
                <w:rFonts w:ascii="Calibri" w:hAnsi="Calibri"/>
                <w:b/>
                <w:color w:val="232D41"/>
                <w:sz w:val="17"/>
              </w:rPr>
              <w:t>Polypharmacy</w:t>
            </w:r>
          </w:p>
        </w:tc>
        <w:tc>
          <w:tcPr>
            <w:tcW w:type="dxa" w:w="3168"/>
            <w:shd w:fill="F4F6F8"/>
            <w:tcMar>
              <w:top w:w="80" w:type="dxa"/>
              <w:bottom w:w="80" w:type="dxa"/>
              <w:left w:w="100" w:type="dxa"/>
              <w:right w:w="100" w:type="dxa"/>
            </w:tcMar>
          </w:tcPr>
          <w:p>
            <w:r>
              <w:rPr>
                <w:rFonts w:ascii="Calibri" w:hAnsi="Calibri"/>
                <w:sz w:val="17"/>
              </w:rPr>
              <w:t>4+ daily medicines (risk_meds)</w:t>
            </w:r>
          </w:p>
        </w:tc>
        <w:tc>
          <w:tcPr>
            <w:tcW w:type="dxa" w:w="4176"/>
            <w:shd w:fill="F4F6F8"/>
            <w:tcMar>
              <w:top w:w="80" w:type="dxa"/>
              <w:bottom w:w="80" w:type="dxa"/>
              <w:left w:w="100" w:type="dxa"/>
              <w:right w:w="100" w:type="dxa"/>
            </w:tcMar>
          </w:tcPr>
          <w:p>
            <w:r>
              <w:rPr>
                <w:rFonts w:ascii="Calibri" w:hAnsi="Calibri"/>
                <w:sz w:val="17"/>
              </w:rPr>
              <w:t>Polypharmacy increases the risk of sedative, hypotensive, and anticholinergic side effects.</w:t>
            </w:r>
          </w:p>
        </w:tc>
      </w:tr>
    </w:tbl>
    <w:p>
      <w:pPr>
        <w:spacing w:after="80"/>
      </w:pPr>
    </w:p>
    <w:p>
      <w:pPr>
        <w:spacing w:before="0" w:after="80" w:line="276" w:lineRule="auto"/>
      </w:pPr>
      <w:r>
        <w:rPr>
          <w:rFonts w:ascii="Calibri" w:hAnsi="Calibri"/>
          <w:color w:val="28282D"/>
          <w:sz w:val="20"/>
        </w:rPr>
        <w:t>Risk Tiers: 0–1 Warning Signs = Low Risk (routine balance maintenance); 2–4 Warning Signs = Moderate Risk (targeted balance drills, home hazard fixes, medication review); 5–6 Warning Signs = High Risk (recommends medical evaluation, physical therapy assessment, and supervised mobility).</w:t>
      </w:r>
    </w:p>
    <w:p>
      <w:pPr>
        <w:keepNext/>
        <w:spacing w:before="200" w:after="60"/>
      </w:pPr>
      <w:r>
        <w:rPr>
          <w:rFonts w:ascii="Calibri" w:hAnsi="Calibri"/>
          <w:b/>
          <w:color w:val="232D41"/>
          <w:sz w:val="23"/>
        </w:rPr>
        <w:t>3.2 5-Room Home Hazard Audit (15 Checkpoints)</w:t>
      </w:r>
    </w:p>
    <w:p>
      <w:pPr>
        <w:spacing w:before="0" w:after="80" w:line="276" w:lineRule="auto"/>
      </w:pPr>
      <w:r>
        <w:rPr>
          <w:rFonts w:ascii="Calibri" w:hAnsi="Calibri"/>
          <w:color w:val="28282D"/>
          <w:sz w:val="20"/>
        </w:rPr>
        <w:t>Adapted from the CDC STEADI "Check for Safety" home assessment and the National Institute on Aging (NIA/NIH) home safety guidelines:</w:t>
      </w:r>
    </w:p>
    <w:tbl>
      <w:tblPr>
        <w:tblW w:type="auto" w:w="0"/>
        <w:jc w:val="center"/>
        <w:tblLayout w:type="fixed"/>
        <w:tblLook w:firstColumn="1" w:firstRow="1" w:lastColumn="0" w:lastRow="0" w:noHBand="0" w:noVBand="1" w:val="04A0"/>
      </w:tblPr>
      <w:tblGrid>
        <w:gridCol w:w="2160"/>
        <w:gridCol w:w="3600"/>
        <w:gridCol w:w="4176"/>
      </w:tblGrid>
      <w:tr>
        <w:tc>
          <w:tcPr>
            <w:tcW w:type="dxa" w:w="3312"/>
            <w:shd w:fill="232D41"/>
            <w:tcMar>
              <w:top w:w="100" w:type="dxa"/>
              <w:bottom w:w="100" w:type="dxa"/>
              <w:left w:w="120" w:type="dxa"/>
              <w:right w:w="120" w:type="dxa"/>
            </w:tcMar>
          </w:tcPr>
          <w:p>
            <w:r>
              <w:rPr>
                <w:rFonts w:ascii="Calibri" w:hAnsi="Calibri"/>
                <w:b/>
                <w:color w:val="FFFFFF"/>
                <w:sz w:val="18"/>
              </w:rPr>
              <w:t>Room / Zone</w:t>
            </w:r>
          </w:p>
        </w:tc>
        <w:tc>
          <w:tcPr>
            <w:tcW w:type="dxa" w:w="3312"/>
            <w:shd w:fill="232D41"/>
            <w:tcMar>
              <w:top w:w="100" w:type="dxa"/>
              <w:bottom w:w="100" w:type="dxa"/>
              <w:left w:w="120" w:type="dxa"/>
              <w:right w:w="120" w:type="dxa"/>
            </w:tcMar>
          </w:tcPr>
          <w:p>
            <w:r>
              <w:rPr>
                <w:rFonts w:ascii="Calibri" w:hAnsi="Calibri"/>
                <w:b/>
                <w:color w:val="FFFFFF"/>
                <w:sz w:val="18"/>
              </w:rPr>
              <w:t>Checkpoints Screened</w:t>
            </w:r>
          </w:p>
        </w:tc>
        <w:tc>
          <w:tcPr>
            <w:tcW w:type="dxa" w:w="3312"/>
            <w:shd w:fill="232D41"/>
            <w:tcMar>
              <w:top w:w="100" w:type="dxa"/>
              <w:bottom w:w="100" w:type="dxa"/>
              <w:left w:w="120" w:type="dxa"/>
              <w:right w:w="120" w:type="dxa"/>
            </w:tcMar>
          </w:tcPr>
          <w:p>
            <w:r>
              <w:rPr>
                <w:rFonts w:ascii="Calibri" w:hAnsi="Calibri"/>
                <w:b/>
                <w:color w:val="FFFFFF"/>
                <w:sz w:val="18"/>
              </w:rPr>
              <w:t>Clinical &amp; Environmental Objective</w:t>
            </w:r>
          </w:p>
        </w:tc>
      </w:tr>
      <w:tr>
        <w:tc>
          <w:tcPr>
            <w:tcW w:type="dxa" w:w="2160"/>
            <w:shd w:fill="FFFFFF"/>
            <w:tcMar>
              <w:top w:w="80" w:type="dxa"/>
              <w:bottom w:w="80" w:type="dxa"/>
              <w:left w:w="100" w:type="dxa"/>
              <w:right w:w="100" w:type="dxa"/>
            </w:tcMar>
          </w:tcPr>
          <w:p>
            <w:r>
              <w:rPr>
                <w:rFonts w:ascii="Calibri" w:hAnsi="Calibri"/>
                <w:b/>
                <w:color w:val="232D41"/>
                <w:sz w:val="17"/>
              </w:rPr>
              <w:t>Bedroom</w:t>
            </w:r>
          </w:p>
        </w:tc>
        <w:tc>
          <w:tcPr>
            <w:tcW w:type="dxa" w:w="3600"/>
            <w:shd w:fill="FFFFFF"/>
            <w:tcMar>
              <w:top w:w="80" w:type="dxa"/>
              <w:bottom w:w="80" w:type="dxa"/>
              <w:left w:w="100" w:type="dxa"/>
              <w:right w:w="100" w:type="dxa"/>
            </w:tcMar>
          </w:tcPr>
          <w:p>
            <w:r>
              <w:rPr>
                <w:rFonts w:ascii="Calibri" w:hAnsi="Calibri"/>
                <w:sz w:val="17"/>
              </w:rPr>
              <w:t>Pathway clear of rugs &amp; cables; bedside light within easy reach; feet flat on floor when seated on bed</w:t>
            </w:r>
          </w:p>
        </w:tc>
        <w:tc>
          <w:tcPr>
            <w:tcW w:type="dxa" w:w="4176"/>
            <w:shd w:fill="FFFFFF"/>
            <w:tcMar>
              <w:top w:w="80" w:type="dxa"/>
              <w:bottom w:w="80" w:type="dxa"/>
              <w:left w:w="100" w:type="dxa"/>
              <w:right w:w="100" w:type="dxa"/>
            </w:tcMar>
          </w:tcPr>
          <w:p>
            <w:r>
              <w:rPr>
                <w:rFonts w:ascii="Calibri" w:hAnsi="Calibri"/>
                <w:sz w:val="17"/>
              </w:rPr>
              <w:t>Eliminates tripping obstacles and ensures safe nighttime room navigation.</w:t>
            </w:r>
          </w:p>
        </w:tc>
      </w:tr>
      <w:tr>
        <w:tc>
          <w:tcPr>
            <w:tcW w:type="dxa" w:w="2160"/>
            <w:shd w:fill="F4F6F8"/>
            <w:tcMar>
              <w:top w:w="80" w:type="dxa"/>
              <w:bottom w:w="80" w:type="dxa"/>
              <w:left w:w="100" w:type="dxa"/>
              <w:right w:w="100" w:type="dxa"/>
            </w:tcMar>
          </w:tcPr>
          <w:p>
            <w:r>
              <w:rPr>
                <w:rFonts w:ascii="Calibri" w:hAnsi="Calibri"/>
                <w:b/>
                <w:color w:val="232D41"/>
                <w:sz w:val="17"/>
              </w:rPr>
              <w:t>Bathroom</w:t>
            </w:r>
          </w:p>
        </w:tc>
        <w:tc>
          <w:tcPr>
            <w:tcW w:type="dxa" w:w="3600"/>
            <w:shd w:fill="F4F6F8"/>
            <w:tcMar>
              <w:top w:w="80" w:type="dxa"/>
              <w:bottom w:w="80" w:type="dxa"/>
              <w:left w:w="100" w:type="dxa"/>
              <w:right w:w="100" w:type="dxa"/>
            </w:tcMar>
          </w:tcPr>
          <w:p>
            <w:r>
              <w:rPr>
                <w:rFonts w:ascii="Calibri" w:hAnsi="Calibri"/>
                <w:sz w:val="17"/>
              </w:rPr>
              <w:t>Grab bars near toilet &amp; shower; non-slip suction mats; continuous night lighting</w:t>
            </w:r>
          </w:p>
        </w:tc>
        <w:tc>
          <w:tcPr>
            <w:tcW w:type="dxa" w:w="4176"/>
            <w:shd w:fill="F4F6F8"/>
            <w:tcMar>
              <w:top w:w="80" w:type="dxa"/>
              <w:bottom w:w="80" w:type="dxa"/>
              <w:left w:w="100" w:type="dxa"/>
              <w:right w:w="100" w:type="dxa"/>
            </w:tcMar>
          </w:tcPr>
          <w:p>
            <w:r>
              <w:rPr>
                <w:rFonts w:ascii="Calibri" w:hAnsi="Calibri"/>
                <w:sz w:val="17"/>
              </w:rPr>
              <w:t>Provides anchored upper-body transfer support on wet, slippery tile surfaces.</w:t>
            </w:r>
          </w:p>
        </w:tc>
      </w:tr>
      <w:tr>
        <w:tc>
          <w:tcPr>
            <w:tcW w:type="dxa" w:w="2160"/>
            <w:shd w:fill="FFFFFF"/>
            <w:tcMar>
              <w:top w:w="80" w:type="dxa"/>
              <w:bottom w:w="80" w:type="dxa"/>
              <w:left w:w="100" w:type="dxa"/>
              <w:right w:w="100" w:type="dxa"/>
            </w:tcMar>
          </w:tcPr>
          <w:p>
            <w:r>
              <w:rPr>
                <w:rFonts w:ascii="Calibri" w:hAnsi="Calibri"/>
                <w:b/>
                <w:color w:val="232D41"/>
                <w:sz w:val="17"/>
              </w:rPr>
              <w:t>Stairs</w:t>
            </w:r>
          </w:p>
        </w:tc>
        <w:tc>
          <w:tcPr>
            <w:tcW w:type="dxa" w:w="3600"/>
            <w:shd w:fill="FFFFFF"/>
            <w:tcMar>
              <w:top w:w="80" w:type="dxa"/>
              <w:bottom w:w="80" w:type="dxa"/>
              <w:left w:w="100" w:type="dxa"/>
              <w:right w:w="100" w:type="dxa"/>
            </w:tcMar>
          </w:tcPr>
          <w:p>
            <w:r>
              <w:rPr>
                <w:rFonts w:ascii="Calibri" w:hAnsi="Calibri"/>
                <w:sz w:val="17"/>
              </w:rPr>
              <w:t>Handrails on both sides; non-slip step treads; dual switches at top &amp; bottom landings</w:t>
            </w:r>
          </w:p>
        </w:tc>
        <w:tc>
          <w:tcPr>
            <w:tcW w:type="dxa" w:w="4176"/>
            <w:shd w:fill="FFFFFF"/>
            <w:tcMar>
              <w:top w:w="80" w:type="dxa"/>
              <w:bottom w:w="80" w:type="dxa"/>
              <w:left w:w="100" w:type="dxa"/>
              <w:right w:w="100" w:type="dxa"/>
            </w:tcMar>
          </w:tcPr>
          <w:p>
            <w:r>
              <w:rPr>
                <w:rFonts w:ascii="Calibri" w:hAnsi="Calibri"/>
                <w:sz w:val="17"/>
              </w:rPr>
              <w:t>Provides continuous bilateral hand grip and ensures stairway visibility.</w:t>
            </w:r>
          </w:p>
        </w:tc>
      </w:tr>
      <w:tr>
        <w:tc>
          <w:tcPr>
            <w:tcW w:type="dxa" w:w="2160"/>
            <w:shd w:fill="F4F6F8"/>
            <w:tcMar>
              <w:top w:w="80" w:type="dxa"/>
              <w:bottom w:w="80" w:type="dxa"/>
              <w:left w:w="100" w:type="dxa"/>
              <w:right w:w="100" w:type="dxa"/>
            </w:tcMar>
          </w:tcPr>
          <w:p>
            <w:r>
              <w:rPr>
                <w:rFonts w:ascii="Calibri" w:hAnsi="Calibri"/>
                <w:b/>
                <w:color w:val="232D41"/>
                <w:sz w:val="17"/>
              </w:rPr>
              <w:t>Kitchen</w:t>
            </w:r>
          </w:p>
        </w:tc>
        <w:tc>
          <w:tcPr>
            <w:tcW w:type="dxa" w:w="3600"/>
            <w:shd w:fill="F4F6F8"/>
            <w:tcMar>
              <w:top w:w="80" w:type="dxa"/>
              <w:bottom w:w="80" w:type="dxa"/>
              <w:left w:w="100" w:type="dxa"/>
              <w:right w:w="100" w:type="dxa"/>
            </w:tcMar>
          </w:tcPr>
          <w:p>
            <w:r>
              <w:rPr>
                <w:rFonts w:ascii="Calibri" w:hAnsi="Calibri"/>
                <w:sz w:val="17"/>
              </w:rPr>
              <w:t>Frequent items at waist-to-shoulder height; non-skid mat by sink; immediate spill cleanup</w:t>
            </w:r>
          </w:p>
        </w:tc>
        <w:tc>
          <w:tcPr>
            <w:tcW w:type="dxa" w:w="4176"/>
            <w:shd w:fill="F4F6F8"/>
            <w:tcMar>
              <w:top w:w="80" w:type="dxa"/>
              <w:bottom w:w="80" w:type="dxa"/>
              <w:left w:w="100" w:type="dxa"/>
              <w:right w:w="100" w:type="dxa"/>
            </w:tcMar>
          </w:tcPr>
          <w:p>
            <w:r>
              <w:rPr>
                <w:rFonts w:ascii="Calibri" w:hAnsi="Calibri"/>
                <w:sz w:val="17"/>
              </w:rPr>
              <w:t>Eliminates reaching/climbing on chairs and prevents slips in high-spill zones.</w:t>
            </w:r>
          </w:p>
        </w:tc>
      </w:tr>
      <w:tr>
        <w:tc>
          <w:tcPr>
            <w:tcW w:type="dxa" w:w="2160"/>
            <w:shd w:fill="FFFFFF"/>
            <w:tcMar>
              <w:top w:w="80" w:type="dxa"/>
              <w:bottom w:w="80" w:type="dxa"/>
              <w:left w:w="100" w:type="dxa"/>
              <w:right w:w="100" w:type="dxa"/>
            </w:tcMar>
          </w:tcPr>
          <w:p>
            <w:r>
              <w:rPr>
                <w:rFonts w:ascii="Calibri" w:hAnsi="Calibri"/>
                <w:b/>
                <w:color w:val="232D41"/>
                <w:sz w:val="17"/>
              </w:rPr>
              <w:t>Living Room</w:t>
            </w:r>
          </w:p>
        </w:tc>
        <w:tc>
          <w:tcPr>
            <w:tcW w:type="dxa" w:w="3600"/>
            <w:shd w:fill="FFFFFF"/>
            <w:tcMar>
              <w:top w:w="80" w:type="dxa"/>
              <w:bottom w:w="80" w:type="dxa"/>
              <w:left w:w="100" w:type="dxa"/>
              <w:right w:w="100" w:type="dxa"/>
            </w:tcMar>
          </w:tcPr>
          <w:p>
            <w:r>
              <w:rPr>
                <w:rFonts w:ascii="Calibri" w:hAnsi="Calibri"/>
                <w:sz w:val="17"/>
              </w:rPr>
              <w:t>Area rugs removed or taped; wires along baseboards; clear paths between furniture</w:t>
            </w:r>
          </w:p>
        </w:tc>
        <w:tc>
          <w:tcPr>
            <w:tcW w:type="dxa" w:w="4176"/>
            <w:shd w:fill="FFFFFF"/>
            <w:tcMar>
              <w:top w:w="80" w:type="dxa"/>
              <w:bottom w:w="80" w:type="dxa"/>
              <w:left w:w="100" w:type="dxa"/>
              <w:right w:w="100" w:type="dxa"/>
            </w:tcMar>
          </w:tcPr>
          <w:p>
            <w:r>
              <w:rPr>
                <w:rFonts w:ascii="Calibri" w:hAnsi="Calibri"/>
                <w:sz w:val="17"/>
              </w:rPr>
              <w:t>Secures loose rug edges and maintains wide, unobstructed movement paths.</w:t>
            </w:r>
          </w:p>
        </w:tc>
      </w:tr>
    </w:tbl>
    <w:p>
      <w:pPr>
        <w:spacing w:after="80"/>
      </w:pPr>
    </w:p>
    <w:p>
      <w:pPr>
        <w:keepNext/>
        <w:spacing w:before="280" w:after="80"/>
      </w:pPr>
      <w:r>
        <w:rPr>
          <w:rFonts w:ascii="Calibri" w:hAnsi="Calibri"/>
          <w:b/>
          <w:color w:val="232D41"/>
          <w:sz w:val="28"/>
        </w:rPr>
        <w:t>4. References &amp; Clinical Literature</w:t>
      </w:r>
    </w:p>
    <w:p>
      <w:pPr>
        <w:pStyle w:val="ListBullet"/>
        <w:spacing w:before="0" w:after="40" w:line="276" w:lineRule="auto"/>
      </w:pPr>
      <w:r>
        <w:rPr>
          <w:rFonts w:ascii="Calibri" w:hAnsi="Calibri"/>
          <w:color w:val="28282D"/>
          <w:sz w:val="20"/>
        </w:rPr>
        <w:t>1. Heaney RP, Saville PD, Recker RR. (1975). Estimation of true calcium absorption. Annals of Internal Medicine, 83(2), 174-177.</w:t>
      </w:r>
    </w:p>
    <w:p>
      <w:pPr>
        <w:pStyle w:val="ListBullet"/>
        <w:spacing w:before="0" w:after="40" w:line="276" w:lineRule="auto"/>
      </w:pPr>
      <w:r>
        <w:rPr>
          <w:rFonts w:ascii="Calibri" w:hAnsi="Calibri"/>
          <w:color w:val="28282D"/>
          <w:sz w:val="20"/>
        </w:rPr>
        <w:t>2. Heaney RP, Weaver CM, Fitzsimmons ML. (1988). Absorption of calcium from calcium carbonate and calcium citrate. Journal of Bone and Mineral Research, 3(5), 525-530.</w:t>
      </w:r>
    </w:p>
    <w:p>
      <w:pPr>
        <w:pStyle w:val="ListBullet"/>
        <w:spacing w:before="0" w:after="40" w:line="276" w:lineRule="auto"/>
      </w:pPr>
      <w:r>
        <w:rPr>
          <w:rFonts w:ascii="Calibri" w:hAnsi="Calibri"/>
          <w:color w:val="28282D"/>
          <w:sz w:val="20"/>
        </w:rPr>
        <w:t>3. Bonjour JP. (2005). Dietary protein: an essential nutrient for bone health. Journal of the American College of Nutrition, 24(sup6), 526S-536S.</w:t>
      </w:r>
    </w:p>
    <w:p>
      <w:pPr>
        <w:pStyle w:val="ListBullet"/>
        <w:spacing w:before="0" w:after="40" w:line="276" w:lineRule="auto"/>
      </w:pPr>
      <w:r>
        <w:rPr>
          <w:rFonts w:ascii="Calibri" w:hAnsi="Calibri"/>
          <w:color w:val="28282D"/>
          <w:sz w:val="20"/>
        </w:rPr>
        <w:t>4. Rizzoli R, et al. (2018). Benefits and safety of dietary protein for bone health—an expert consensus paper endorsed by ESCEO. Osteoporosis International, 29(9), 1933-1948.</w:t>
      </w:r>
    </w:p>
    <w:p>
      <w:pPr>
        <w:pStyle w:val="ListBullet"/>
        <w:spacing w:before="0" w:after="40" w:line="276" w:lineRule="auto"/>
      </w:pPr>
      <w:r>
        <w:rPr>
          <w:rFonts w:ascii="Calibri" w:hAnsi="Calibri"/>
          <w:color w:val="28282D"/>
          <w:sz w:val="20"/>
        </w:rPr>
        <w:t>5. Holick MF. (2007). Vitamin D deficiency. New England Journal of Medicine, 357(3), 266-281.</w:t>
      </w:r>
    </w:p>
    <w:p>
      <w:pPr>
        <w:pStyle w:val="ListBullet"/>
        <w:spacing w:before="0" w:after="40" w:line="276" w:lineRule="auto"/>
      </w:pPr>
      <w:r>
        <w:rPr>
          <w:rFonts w:ascii="Calibri" w:hAnsi="Calibri"/>
          <w:color w:val="28282D"/>
          <w:sz w:val="20"/>
        </w:rPr>
        <w:t>6. Singh N, Singh PN, Hershman JM. (2000). Effect of calcium carbonate on the absorption of levothyroxine. JAMA, 283(21), 2822-2825.</w:t>
      </w:r>
    </w:p>
    <w:p>
      <w:pPr>
        <w:pStyle w:val="ListBullet"/>
        <w:spacing w:before="0" w:after="40" w:line="276" w:lineRule="auto"/>
      </w:pPr>
      <w:r>
        <w:rPr>
          <w:rFonts w:ascii="Calibri" w:hAnsi="Calibri"/>
          <w:color w:val="28282D"/>
          <w:sz w:val="20"/>
        </w:rPr>
        <w:t>7. Stevens JA, Ballesteros MF, Phelan EA. (2014). The STEADI tool kit: A resource for health care providers to prevent older adult falls. Journal of Safety Research, 48, 109-115.</w:t>
      </w:r>
    </w:p>
    <w:p>
      <w:pPr>
        <w:pStyle w:val="ListBullet"/>
        <w:spacing w:before="0" w:after="40" w:line="276" w:lineRule="auto"/>
      </w:pPr>
      <w:r>
        <w:rPr>
          <w:rFonts w:ascii="Calibri" w:hAnsi="Calibri"/>
          <w:color w:val="28282D"/>
          <w:sz w:val="20"/>
        </w:rPr>
        <w:t>8. Panel on Prevention of Falls in Older Persons, AGS/BGS. (2011). Summary of the Updated American Geriatrics Society/British Geriatrics Society clinical practice guideline for prevention of falls in older persons. Journal of the American Geriatrics Society, 59(1), 148-157.</w:t>
      </w:r>
    </w:p>
    <w:p>
      <w:pPr>
        <w:pStyle w:val="ListBullet"/>
        <w:spacing w:before="0" w:after="40" w:line="276" w:lineRule="auto"/>
      </w:pPr>
      <w:r>
        <w:rPr>
          <w:rFonts w:ascii="Calibri" w:hAnsi="Calibri"/>
          <w:color w:val="28282D"/>
          <w:sz w:val="20"/>
        </w:rPr>
        <w:t>9. National Institute on Aging (NIA/NIH). (2022). Fall-Proofing Your Home: A Room-by-Room Checklist. U.S. Department of Health and Human Services.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