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022D9">
      <w:pPr>
        <w:pStyle w:val="2"/>
        <w:bidi w:val="0"/>
        <w:rPr>
          <w:rFonts w:hint="eastAsia" w:ascii="楷体" w:hAnsi="楷体" w:eastAsia="楷体" w:cs="楷体"/>
          <w:lang w:val="en-US" w:eastAsia="zh-CN"/>
        </w:rPr>
        <w:sectPr>
          <w:footerReference r:id="rId3" w:type="default"/>
          <w:pgSz w:w="11906" w:h="16838"/>
          <w:pgMar w:top="1440" w:right="1157" w:bottom="1440" w:left="1157"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楷体" w:hAnsi="楷体" w:eastAsia="楷体" w:cs="楷体"/>
          <w:sz w:val="21"/>
        </w:rPr>
        <mc:AlternateContent>
          <mc:Choice Requires="wps">
            <w:drawing>
              <wp:anchor distT="0" distB="0" distL="114300" distR="114300" simplePos="0" relativeHeight="251661312" behindDoc="0" locked="0" layoutInCell="1" allowOverlap="1">
                <wp:simplePos x="0" y="0"/>
                <wp:positionH relativeFrom="column">
                  <wp:posOffset>-730250</wp:posOffset>
                </wp:positionH>
                <wp:positionV relativeFrom="paragraph">
                  <wp:posOffset>3040380</wp:posOffset>
                </wp:positionV>
                <wp:extent cx="7597140" cy="2072640"/>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7597140" cy="2072640"/>
                        </a:xfrm>
                        <a:prstGeom prst="rect">
                          <a:avLst/>
                        </a:prstGeom>
                        <a:noFill/>
                      </wps:spPr>
                      <wps:txbx>
                        <w:txbxContent>
                          <w:p w14:paraId="6A041799">
                            <w:pPr>
                              <w:pStyle w:val="10"/>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9DBDF"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9DBDF"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民诉法三色笔记</w:t>
                            </w:r>
                          </w:p>
                        </w:txbxContent>
                      </wps:txbx>
                      <wps:bodyPr wrap="square" rtlCol="0">
                        <a:spAutoFit/>
                      </wps:bodyPr>
                    </wps:wsp>
                  </a:graphicData>
                </a:graphic>
              </wp:anchor>
            </w:drawing>
          </mc:Choice>
          <mc:Fallback>
            <w:pict>
              <v:shape id="文本框 18" o:spid="_x0000_s1026" o:spt="202" type="#_x0000_t202" style="position:absolute;left:0pt;margin-left:-57.5pt;margin-top:239.4pt;height:163.2pt;width:598.2pt;z-index:251661312;mso-width-relative:page;mso-height-relative:page;" filled="f" stroked="f" coordsize="21600,21600" o:gfxdata="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jVQoPtkAAAANAQAADwAAAAAAAAABACAAAAAiAAAAZHJzL2Rvd25yZXYueG1sUEsB&#10;AhQAFAAAAAgAh07iQCqVikS7AQAAYAMAAA4AAAAAAAAAAQAgAAAAKAEAAGRycy9lMm9Eb2MueG1s&#10;UEsFBgAAAAAGAAYAWQEAAFUFAAAAAA==&#10;">
                <v:fill on="f" focussize="0,0"/>
                <v:stroke on="f"/>
                <v:imagedata o:title=""/>
                <o:lock v:ext="edit" aspectratio="f"/>
                <v:textbox style="mso-fit-shape-to-text:t;">
                  <w:txbxContent>
                    <w:p w14:paraId="6A041799">
                      <w:pPr>
                        <w:pStyle w:val="10"/>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9DBDF"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9DBDF"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民诉法三色笔记</w:t>
                      </w:r>
                    </w:p>
                  </w:txbxContent>
                </v:textbox>
              </v:shape>
            </w:pict>
          </mc:Fallback>
        </mc:AlternateContent>
      </w:r>
      <w:r>
        <w:rPr>
          <w:rFonts w:hint="eastAsia" w:ascii="楷体" w:hAnsi="楷体" w:eastAsia="楷体" w:cs="楷体"/>
        </w:rPr>
        <w:drawing>
          <wp:anchor distT="0" distB="0" distL="114300" distR="114300" simplePos="0" relativeHeight="251659264" behindDoc="1" locked="0" layoutInCell="1" allowOverlap="1">
            <wp:simplePos x="0" y="0"/>
            <wp:positionH relativeFrom="column">
              <wp:posOffset>-1144905</wp:posOffset>
            </wp:positionH>
            <wp:positionV relativeFrom="paragraph">
              <wp:posOffset>-1484630</wp:posOffset>
            </wp:positionV>
            <wp:extent cx="7980680" cy="11283950"/>
            <wp:effectExtent l="0" t="0" r="1270" b="12700"/>
            <wp:wrapNone/>
            <wp:docPr id="1" name="图片 1" descr="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7"/>
                    <pic:cNvPicPr>
                      <a:picLocks noChangeAspect="1"/>
                    </pic:cNvPicPr>
                  </pic:nvPicPr>
                  <pic:blipFill>
                    <a:blip r:embed="rId8"/>
                    <a:stretch>
                      <a:fillRect/>
                    </a:stretch>
                  </pic:blipFill>
                  <pic:spPr>
                    <a:xfrm>
                      <a:off x="0" y="0"/>
                      <a:ext cx="7980680" cy="11283950"/>
                    </a:xfrm>
                    <a:prstGeom prst="rect">
                      <a:avLst/>
                    </a:prstGeom>
                  </pic:spPr>
                </pic:pic>
              </a:graphicData>
            </a:graphic>
          </wp:anchor>
        </w:drawing>
      </w:r>
    </w:p>
    <w:p w14:paraId="0241D4D0">
      <w:pPr>
        <w:keepNext w:val="0"/>
        <w:keepLines w:val="0"/>
        <w:pageBreakBefore w:val="0"/>
        <w:widowControl w:val="0"/>
        <w:kinsoku/>
        <w:wordWrap/>
        <w:overflowPunct/>
        <w:topLinePunct w:val="0"/>
        <w:autoSpaceDE/>
        <w:autoSpaceDN/>
        <w:bidi w:val="0"/>
        <w:adjustRightInd/>
        <w:snapToGrid/>
        <w:spacing w:line="288" w:lineRule="auto"/>
        <w:ind w:left="0" w:leftChars="0" w:firstLine="0" w:firstLineChars="0"/>
        <w:jc w:val="both"/>
        <w:textAlignment w:val="auto"/>
        <w:rPr>
          <w:rFonts w:hint="eastAsia" w:ascii="楷体" w:hAnsi="楷体" w:eastAsia="楷体" w:cs="楷体"/>
          <w:kern w:val="2"/>
          <w:sz w:val="21"/>
          <w:szCs w:val="24"/>
          <w:lang w:val="en-US" w:eastAsia="zh-CN" w:bidi="ar-SA"/>
        </w:rPr>
        <w:sectPr>
          <w:footerReference r:id="rId4" w:type="default"/>
          <w:pgSz w:w="11906" w:h="16838"/>
          <w:pgMar w:top="1440" w:right="1157" w:bottom="1440" w:left="1157" w:header="851" w:footer="992" w:gutter="0"/>
          <w:pgBorders>
            <w:top w:val="none" w:sz="0" w:space="0"/>
            <w:left w:val="none" w:sz="0" w:space="0"/>
            <w:bottom w:val="none" w:sz="0" w:space="0"/>
            <w:right w:val="none" w:sz="0" w:space="0"/>
          </w:pgBorders>
          <w:pgNumType w:start="0"/>
          <w:cols w:space="425" w:num="1"/>
          <w:docGrid w:type="lines" w:linePitch="312" w:charSpace="0"/>
        </w:sectPr>
      </w:pPr>
    </w:p>
    <w:sdt>
      <w:sdtPr>
        <w:rPr>
          <w:rFonts w:hint="eastAsia" w:ascii="楷体" w:hAnsi="楷体" w:eastAsia="楷体" w:cs="楷体"/>
          <w:b/>
          <w:bCs/>
          <w:kern w:val="2"/>
          <w:sz w:val="24"/>
          <w:szCs w:val="24"/>
          <w:lang w:val="en-US" w:eastAsia="zh-CN" w:bidi="ar-SA"/>
        </w:rPr>
        <w:id w:val="147480733"/>
        <w15:color w:val="DBDBDB"/>
        <w:docPartObj>
          <w:docPartGallery w:val="Table of Contents"/>
          <w:docPartUnique/>
        </w:docPartObj>
      </w:sdtPr>
      <w:sdtEndPr>
        <w:rPr>
          <w:rFonts w:hint="eastAsia" w:ascii="楷体" w:hAnsi="楷体" w:eastAsia="楷体" w:cs="楷体"/>
          <w:b/>
          <w:bCs/>
          <w:kern w:val="2"/>
          <w:sz w:val="21"/>
          <w:szCs w:val="24"/>
          <w:lang w:val="en-US" w:eastAsia="zh-CN" w:bidi="ar-SA"/>
        </w:rPr>
      </w:sdtEndPr>
      <w:sdtContent>
        <w:p w14:paraId="6111E0D4">
          <w:pPr>
            <w:keepNext w:val="0"/>
            <w:keepLines w:val="0"/>
            <w:pageBreakBefore w:val="0"/>
            <w:widowControl w:val="0"/>
            <w:kinsoku/>
            <w:wordWrap/>
            <w:overflowPunct/>
            <w:topLinePunct w:val="0"/>
            <w:autoSpaceDE/>
            <w:autoSpaceDN/>
            <w:bidi w:val="0"/>
            <w:adjustRightInd/>
            <w:snapToGrid/>
            <w:spacing w:before="0" w:beforeLines="0" w:after="0" w:afterLines="0" w:line="24" w:lineRule="atLeast"/>
            <w:ind w:left="482" w:leftChars="0" w:right="0" w:rightChars="0" w:firstLine="0" w:firstLineChars="0"/>
            <w:jc w:val="center"/>
            <w:textAlignment w:val="auto"/>
            <w:rPr>
              <w:rFonts w:hint="default" w:ascii="Times New Roman" w:hAnsi="Times New Roman" w:eastAsia="楷体" w:cs="Times New Roman"/>
              <w:b/>
              <w:bCs/>
              <w:sz w:val="24"/>
              <w:szCs w:val="24"/>
            </w:rPr>
          </w:pPr>
          <w:r>
            <w:rPr>
              <w:rFonts w:hint="default" w:ascii="Times New Roman" w:hAnsi="Times New Roman" w:eastAsia="楷体" w:cs="Times New Roman"/>
              <w:b/>
              <w:bCs/>
              <w:sz w:val="28"/>
              <w:szCs w:val="28"/>
            </w:rPr>
            <w:t>目</w:t>
          </w:r>
          <w:r>
            <w:rPr>
              <w:rFonts w:hint="default" w:ascii="Times New Roman" w:hAnsi="Times New Roman" w:eastAsia="楷体" w:cs="Times New Roman"/>
              <w:b/>
              <w:bCs/>
              <w:sz w:val="28"/>
              <w:szCs w:val="28"/>
              <w:lang w:val="en-US" w:eastAsia="zh-CN"/>
            </w:rPr>
            <w:t xml:space="preserve">  </w:t>
          </w:r>
          <w:r>
            <w:rPr>
              <w:rFonts w:hint="default" w:ascii="Times New Roman" w:hAnsi="Times New Roman" w:eastAsia="楷体" w:cs="Times New Roman"/>
              <w:b/>
              <w:bCs/>
              <w:sz w:val="28"/>
              <w:szCs w:val="28"/>
            </w:rPr>
            <w:t>录</w:t>
          </w:r>
        </w:p>
        <w:p w14:paraId="704D7674">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kern w:val="2"/>
              <w:sz w:val="21"/>
              <w:szCs w:val="24"/>
              <w:lang w:val="en-US" w:eastAsia="zh-CN" w:bidi="ar-SA"/>
            </w:rPr>
            <w:fldChar w:fldCharType="begin"/>
          </w:r>
          <w:r>
            <w:rPr>
              <w:rFonts w:hint="default" w:ascii="Times New Roman" w:hAnsi="Times New Roman" w:eastAsia="楷体" w:cs="Times New Roman"/>
              <w:kern w:val="2"/>
              <w:sz w:val="21"/>
              <w:szCs w:val="24"/>
              <w:lang w:val="en-US" w:eastAsia="zh-CN" w:bidi="ar-SA"/>
            </w:rPr>
            <w:instrText xml:space="preserve">TOC \o "1-3" \h \u </w:instrText>
          </w:r>
          <w:r>
            <w:rPr>
              <w:rFonts w:hint="default" w:ascii="Times New Roman" w:hAnsi="Times New Roman" w:eastAsia="楷体" w:cs="Times New Roman"/>
              <w:kern w:val="2"/>
              <w:sz w:val="21"/>
              <w:szCs w:val="24"/>
              <w:lang w:val="en-US" w:eastAsia="zh-CN" w:bidi="ar-SA"/>
            </w:rPr>
            <w:fldChar w:fldCharType="separate"/>
          </w: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_Toc15187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专题一 民事诉讼与民事诉讼法基本理论</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_Toc15187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1</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79DEBA42">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_Toc11078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专题二 民事诉讼法的基本原则</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_Toc11078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1</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1EDFABAC">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_Toc22008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专题三 民事诉讼法的基本制度</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_Toc22008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0D451360">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_Toc3695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专题四 主管与管辖</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_Toc3695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3</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018F3F74">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_Toc726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专题五 诉</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_Toc726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6</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5B90635C">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_Toc13798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专题六 当事人与诉讼代理人</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_Toc13798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6</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3D99907D">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_Toc28380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专题七 证据和证明</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_Toc28380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7</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0742F612">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_Toc1213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专题八 调解</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_Toc1213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8</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5B3F6C55">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_Toc6974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专题九 诉讼保障制度</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_Toc6974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9</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1A967B33">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_Toc16381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 一审普通程序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_Toc16381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9</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6278C963">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_Toc1769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专题十一 一审简易程序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_Toc1769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13</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5A76BDC2">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_Toc2270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专题十二 第二审程序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_Toc2270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15</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17583FD5">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_Toc23620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专题十三 再审程序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_Toc23620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17</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6519F53F">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_Toc32240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专题十四 特别程序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_Toc32240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20</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3919D9CE">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_Toc3653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专题十五 督促程序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_Toc3653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21</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1936B2D7">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_Toc25199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专题十六 公示催告程序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_Toc25199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21</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59798127">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_Toc26341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专题十七 执行程序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_Toc26341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22</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14A11F63">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_Toc25943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专题十八 涉外民事诉讼的特殊规定</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_Toc25943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25</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303F0A37">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_Toc23156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专题十九 仲裁与仲裁法概述</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_Toc23156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27</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32C7F2C9">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_Toc11763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专题二十 仲裁协议</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_Toc11763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27</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7C242835">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b/>
              <w:bCs/>
              <w:sz w:val="22"/>
              <w:szCs w:val="22"/>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_Toc20068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专题二十一 仲裁程序</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_Toc20068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28</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249FCA05">
          <w:pPr>
            <w:pStyle w:val="9"/>
            <w:keepNext w:val="0"/>
            <w:keepLines w:val="0"/>
            <w:pageBreakBefore w:val="0"/>
            <w:widowControl w:val="0"/>
            <w:tabs>
              <w:tab w:val="right" w:leader="dot" w:pos="9592"/>
            </w:tabs>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eastAsia="楷体" w:cs="Times New Roman"/>
            </w:rPr>
          </w:pPr>
          <w:r>
            <w:rPr>
              <w:rFonts w:hint="default" w:ascii="Times New Roman" w:hAnsi="Times New Roman" w:eastAsia="楷体" w:cs="Times New Roman"/>
              <w:b/>
              <w:bCs/>
              <w:kern w:val="2"/>
              <w:sz w:val="22"/>
              <w:szCs w:val="22"/>
              <w:lang w:val="en-US" w:eastAsia="zh-CN" w:bidi="ar-SA"/>
            </w:rPr>
            <w:fldChar w:fldCharType="begin"/>
          </w:r>
          <w:r>
            <w:rPr>
              <w:rFonts w:hint="default" w:ascii="Times New Roman" w:hAnsi="Times New Roman" w:eastAsia="楷体" w:cs="Times New Roman"/>
              <w:b/>
              <w:bCs/>
              <w:kern w:val="2"/>
              <w:sz w:val="22"/>
              <w:szCs w:val="22"/>
              <w:lang w:val="en-US" w:eastAsia="zh-CN" w:bidi="ar-SA"/>
            </w:rPr>
            <w:instrText xml:space="preserve"> HYPERLINK \l _Toc16886 </w:instrText>
          </w:r>
          <w:r>
            <w:rPr>
              <w:rFonts w:hint="default" w:ascii="Times New Roman" w:hAnsi="Times New Roman" w:eastAsia="楷体" w:cs="Times New Roman"/>
              <w:b/>
              <w:bCs/>
              <w:kern w:val="2"/>
              <w:sz w:val="22"/>
              <w:szCs w:val="22"/>
              <w:lang w:val="en-US" w:eastAsia="zh-CN" w:bidi="ar-SA"/>
            </w:rPr>
            <w:fldChar w:fldCharType="separate"/>
          </w:r>
          <w:r>
            <w:rPr>
              <w:rFonts w:hint="default" w:ascii="Times New Roman" w:hAnsi="Times New Roman" w:eastAsia="楷体" w:cs="Times New Roman"/>
              <w:b/>
              <w:bCs/>
              <w:sz w:val="22"/>
              <w:szCs w:val="22"/>
              <w:lang w:val="en-US" w:eastAsia="zh-CN"/>
            </w:rPr>
            <w:t>专题二十二 仲裁裁决的撤销与不予执行</w:t>
          </w:r>
          <w:r>
            <w:rPr>
              <w:rFonts w:hint="default" w:ascii="Times New Roman" w:hAnsi="Times New Roman" w:eastAsia="楷体" w:cs="Times New Roman"/>
              <w:b/>
              <w:bCs/>
              <w:sz w:val="22"/>
              <w:szCs w:val="22"/>
            </w:rPr>
            <w:tab/>
          </w:r>
          <w:r>
            <w:rPr>
              <w:rFonts w:hint="default" w:ascii="Times New Roman" w:hAnsi="Times New Roman" w:eastAsia="楷体" w:cs="Times New Roman"/>
              <w:b/>
              <w:bCs/>
              <w:sz w:val="22"/>
              <w:szCs w:val="22"/>
            </w:rPr>
            <w:fldChar w:fldCharType="begin"/>
          </w:r>
          <w:r>
            <w:rPr>
              <w:rFonts w:hint="default" w:ascii="Times New Roman" w:hAnsi="Times New Roman" w:eastAsia="楷体" w:cs="Times New Roman"/>
              <w:b/>
              <w:bCs/>
              <w:sz w:val="22"/>
              <w:szCs w:val="22"/>
            </w:rPr>
            <w:instrText xml:space="preserve"> PAGEREF _Toc16886 \h </w:instrText>
          </w:r>
          <w:r>
            <w:rPr>
              <w:rFonts w:hint="default" w:ascii="Times New Roman" w:hAnsi="Times New Roman" w:eastAsia="楷体" w:cs="Times New Roman"/>
              <w:b/>
              <w:bCs/>
              <w:sz w:val="22"/>
              <w:szCs w:val="22"/>
            </w:rPr>
            <w:fldChar w:fldCharType="separate"/>
          </w:r>
          <w:r>
            <w:rPr>
              <w:rFonts w:hint="default" w:ascii="Times New Roman" w:hAnsi="Times New Roman" w:eastAsia="楷体" w:cs="Times New Roman"/>
              <w:b/>
              <w:bCs/>
              <w:sz w:val="22"/>
              <w:szCs w:val="22"/>
            </w:rPr>
            <w:t>29</w:t>
          </w:r>
          <w:r>
            <w:rPr>
              <w:rFonts w:hint="default" w:ascii="Times New Roman" w:hAnsi="Times New Roman" w:eastAsia="楷体" w:cs="Times New Roman"/>
              <w:b/>
              <w:bCs/>
              <w:sz w:val="22"/>
              <w:szCs w:val="22"/>
            </w:rPr>
            <w:fldChar w:fldCharType="end"/>
          </w:r>
          <w:r>
            <w:rPr>
              <w:rFonts w:hint="default" w:ascii="Times New Roman" w:hAnsi="Times New Roman" w:eastAsia="楷体" w:cs="Times New Roman"/>
              <w:b/>
              <w:bCs/>
              <w:kern w:val="2"/>
              <w:sz w:val="22"/>
              <w:szCs w:val="22"/>
              <w:lang w:val="en-US" w:eastAsia="zh-CN" w:bidi="ar-SA"/>
            </w:rPr>
            <w:fldChar w:fldCharType="end"/>
          </w:r>
        </w:p>
        <w:p w14:paraId="12E9F42D">
          <w:pPr>
            <w:keepNext w:val="0"/>
            <w:keepLines w:val="0"/>
            <w:pageBreakBefore w:val="0"/>
            <w:widowControl w:val="0"/>
            <w:kinsoku/>
            <w:wordWrap/>
            <w:overflowPunct/>
            <w:topLinePunct w:val="0"/>
            <w:autoSpaceDE/>
            <w:autoSpaceDN/>
            <w:bidi w:val="0"/>
            <w:adjustRightInd/>
            <w:snapToGrid/>
            <w:spacing w:line="24" w:lineRule="atLeast"/>
            <w:ind w:left="420" w:leftChars="0" w:firstLine="0" w:firstLineChars="0"/>
            <w:jc w:val="both"/>
            <w:textAlignment w:val="auto"/>
            <w:rPr>
              <w:rFonts w:hint="eastAsia" w:ascii="楷体" w:hAnsi="楷体" w:eastAsia="楷体" w:cs="楷体"/>
              <w:b/>
              <w:bCs/>
              <w:kern w:val="2"/>
              <w:sz w:val="21"/>
              <w:szCs w:val="24"/>
              <w:lang w:val="en-US" w:eastAsia="zh-CN" w:bidi="ar-SA"/>
            </w:rPr>
          </w:pPr>
          <w:r>
            <w:rPr>
              <w:rFonts w:hint="default" w:ascii="Times New Roman" w:hAnsi="Times New Roman" w:eastAsia="楷体" w:cs="Times New Roman"/>
              <w:kern w:val="2"/>
              <w:szCs w:val="24"/>
              <w:lang w:val="en-US" w:eastAsia="zh-CN" w:bidi="ar-SA"/>
            </w:rPr>
            <w:fldChar w:fldCharType="end"/>
          </w:r>
        </w:p>
      </w:sdtContent>
    </w:sdt>
    <w:p w14:paraId="629153BE">
      <w:pPr>
        <w:bidi w:val="0"/>
        <w:rPr>
          <w:rFonts w:hint="eastAsia" w:ascii="楷体" w:hAnsi="楷体" w:eastAsia="楷体" w:cs="楷体"/>
          <w:kern w:val="2"/>
          <w:sz w:val="21"/>
          <w:szCs w:val="24"/>
          <w:lang w:val="en-US" w:eastAsia="zh-CN" w:bidi="ar-SA"/>
        </w:rPr>
      </w:pPr>
    </w:p>
    <w:p w14:paraId="4F072AB2">
      <w:pPr>
        <w:bidi w:val="0"/>
        <w:rPr>
          <w:rFonts w:hint="eastAsia" w:ascii="楷体" w:hAnsi="楷体" w:eastAsia="楷体" w:cs="楷体"/>
          <w:lang w:val="en-US" w:eastAsia="zh-CN"/>
        </w:rPr>
      </w:pPr>
    </w:p>
    <w:p w14:paraId="36BB08FA">
      <w:pPr>
        <w:bidi w:val="0"/>
        <w:rPr>
          <w:rFonts w:hint="eastAsia" w:ascii="楷体" w:hAnsi="楷体" w:eastAsia="楷体" w:cs="楷体"/>
          <w:lang w:val="en-US" w:eastAsia="zh-CN"/>
        </w:rPr>
      </w:pPr>
    </w:p>
    <w:p w14:paraId="314E4CE8">
      <w:pPr>
        <w:bidi w:val="0"/>
        <w:rPr>
          <w:rFonts w:hint="eastAsia" w:ascii="楷体" w:hAnsi="楷体" w:eastAsia="楷体" w:cs="楷体"/>
          <w:lang w:val="en-US" w:eastAsia="zh-CN"/>
        </w:rPr>
      </w:pPr>
      <w:bookmarkStart w:id="66" w:name="_GoBack"/>
      <w:bookmarkEnd w:id="66"/>
    </w:p>
    <w:p w14:paraId="1161B30B">
      <w:pPr>
        <w:bidi w:val="0"/>
        <w:rPr>
          <w:rFonts w:hint="eastAsia" w:ascii="楷体" w:hAnsi="楷体" w:eastAsia="楷体" w:cs="楷体"/>
          <w:lang w:val="en-US" w:eastAsia="zh-CN"/>
        </w:rPr>
      </w:pPr>
    </w:p>
    <w:p w14:paraId="7C930158">
      <w:pPr>
        <w:bidi w:val="0"/>
        <w:rPr>
          <w:rFonts w:hint="eastAsia" w:ascii="楷体" w:hAnsi="楷体" w:eastAsia="楷体" w:cs="楷体"/>
          <w:lang w:val="en-US" w:eastAsia="zh-CN"/>
        </w:rPr>
      </w:pPr>
    </w:p>
    <w:p w14:paraId="6368145B">
      <w:pPr>
        <w:bidi w:val="0"/>
        <w:rPr>
          <w:rFonts w:hint="eastAsia" w:ascii="楷体" w:hAnsi="楷体" w:eastAsia="楷体" w:cs="楷体"/>
          <w:lang w:val="en-US" w:eastAsia="zh-CN"/>
        </w:rPr>
      </w:pPr>
    </w:p>
    <w:p w14:paraId="2A25A300">
      <w:pPr>
        <w:bidi w:val="0"/>
        <w:rPr>
          <w:rFonts w:hint="eastAsia" w:ascii="楷体" w:hAnsi="楷体" w:eastAsia="楷体" w:cs="楷体"/>
          <w:lang w:val="en-US" w:eastAsia="zh-CN"/>
        </w:rPr>
      </w:pPr>
    </w:p>
    <w:p w14:paraId="0DD7BF5B">
      <w:pPr>
        <w:tabs>
          <w:tab w:val="left" w:pos="5456"/>
        </w:tabs>
        <w:bidi w:val="0"/>
        <w:jc w:val="left"/>
        <w:rPr>
          <w:rFonts w:hint="eastAsia" w:ascii="楷体" w:hAnsi="楷体" w:eastAsia="楷体" w:cs="楷体"/>
          <w:lang w:val="en-US" w:eastAsia="zh-CN"/>
        </w:rPr>
        <w:sectPr>
          <w:pgSz w:w="11906" w:h="16838"/>
          <w:pgMar w:top="1440" w:right="1157" w:bottom="1440" w:left="1157" w:header="851" w:footer="992" w:gutter="0"/>
          <w:pgBorders>
            <w:top w:val="none" w:sz="0" w:space="0"/>
            <w:left w:val="none" w:sz="0" w:space="0"/>
            <w:bottom w:val="none" w:sz="0" w:space="0"/>
            <w:right w:val="none" w:sz="0" w:space="0"/>
          </w:pgBorders>
          <w:pgNumType w:start="0"/>
          <w:cols w:space="425" w:num="1"/>
          <w:docGrid w:type="lines" w:linePitch="312" w:charSpace="0"/>
        </w:sectPr>
      </w:pPr>
      <w:r>
        <w:rPr>
          <w:rFonts w:hint="eastAsia" w:ascii="楷体" w:hAnsi="楷体" w:eastAsia="楷体" w:cs="楷体"/>
          <w:lang w:val="en-US" w:eastAsia="zh-CN"/>
        </w:rPr>
        <w:tab/>
      </w:r>
    </w:p>
    <w:p w14:paraId="44FA2C90">
      <w:pPr>
        <w:pStyle w:val="3"/>
        <w:bidi w:val="0"/>
        <w:rPr>
          <w:rFonts w:hint="eastAsia" w:ascii="楷体" w:hAnsi="楷体" w:eastAsia="楷体" w:cs="楷体"/>
          <w:lang w:val="en-US" w:eastAsia="zh-CN"/>
        </w:rPr>
      </w:pPr>
      <w:bookmarkStart w:id="0" w:name="_Toc15042"/>
      <w:bookmarkStart w:id="1" w:name="_Toc15187"/>
      <w:bookmarkStart w:id="2" w:name="_Toc8029"/>
      <w:r>
        <w:rPr>
          <w:rFonts w:hint="eastAsia" w:ascii="楷体" w:hAnsi="楷体" w:eastAsia="楷体" w:cs="楷体"/>
          <w:lang w:val="en-US" w:eastAsia="zh-CN"/>
        </w:rPr>
        <w:t>专题一 民事诉讼与民事诉讼法基本理论</w:t>
      </w:r>
      <w:bookmarkEnd w:id="0"/>
      <w:bookmarkEnd w:id="1"/>
      <w:bookmarkEnd w:id="2"/>
    </w:p>
    <w:p w14:paraId="587D8F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val="0"/>
          <w:bCs w:val="0"/>
          <w:color w:val="00B0F0"/>
          <w:lang w:val="en-US" w:eastAsia="zh-CN"/>
        </w:rPr>
      </w:pPr>
      <w:r>
        <w:rPr>
          <w:rFonts w:hint="eastAsia" w:ascii="楷体" w:hAnsi="楷体" w:eastAsia="楷体" w:cs="楷体"/>
          <w:b/>
          <w:bCs/>
          <w:color w:val="00B0F0"/>
          <w:sz w:val="24"/>
          <w:szCs w:val="24"/>
          <w:lang w:val="en-US" w:eastAsia="zh-CN"/>
        </w:rPr>
        <w:t>考点1：民事纠纷解决途径</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90"/>
        <w:gridCol w:w="7232"/>
      </w:tblGrid>
      <w:tr w14:paraId="52E9C4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57" w:type="pct"/>
            <w:tcBorders>
              <w:tl2br w:val="nil"/>
              <w:tr2bl w:val="nil"/>
            </w:tcBorders>
            <w:vAlign w:val="center"/>
          </w:tcPr>
          <w:p w14:paraId="74B4140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vertAlign w:val="baseline"/>
                <w:lang w:val="en-US" w:eastAsia="zh-CN"/>
              </w:rPr>
            </w:pPr>
            <w:r>
              <w:rPr>
                <w:rFonts w:hint="eastAsia" w:ascii="楷体" w:hAnsi="楷体" w:eastAsia="楷体" w:cs="楷体"/>
                <w:b/>
                <w:bCs/>
                <w:color w:val="E56437"/>
                <w:sz w:val="24"/>
                <w:szCs w:val="24"/>
                <w:lang w:val="en-US" w:eastAsia="zh-CN"/>
              </w:rPr>
              <w:t>和解</w:t>
            </w:r>
          </w:p>
        </w:tc>
        <w:tc>
          <w:tcPr>
            <w:tcW w:w="4242" w:type="pct"/>
            <w:tcBorders>
              <w:tl2br w:val="nil"/>
              <w:tr2bl w:val="nil"/>
            </w:tcBorders>
            <w:vAlign w:val="top"/>
          </w:tcPr>
          <w:p w14:paraId="7285B35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和解是指争议双方当事人自主地就如何解决纠纷达成协议，即和解协议；特点在于</w:t>
            </w:r>
            <w:r>
              <w:rPr>
                <w:rFonts w:hint="eastAsia" w:ascii="楷体" w:hAnsi="楷体" w:eastAsia="楷体" w:cs="楷体"/>
                <w:color w:val="FF0000"/>
                <w:lang w:val="en-US" w:eastAsia="zh-CN"/>
              </w:rPr>
              <w:t>无第三方介入</w:t>
            </w:r>
            <w:r>
              <w:rPr>
                <w:rFonts w:hint="eastAsia" w:ascii="楷体" w:hAnsi="楷体" w:eastAsia="楷体" w:cs="楷体"/>
                <w:color w:val="auto"/>
                <w:lang w:val="en-US" w:eastAsia="zh-CN"/>
              </w:rPr>
              <w:t>；反悔不能起诉，</w:t>
            </w:r>
            <w:r>
              <w:rPr>
                <w:rFonts w:hint="eastAsia" w:ascii="楷体" w:hAnsi="楷体" w:eastAsia="楷体" w:cs="楷体"/>
                <w:color w:val="FF0000"/>
                <w:lang w:val="en-US" w:eastAsia="zh-CN"/>
              </w:rPr>
              <w:t>不能强制执行</w:t>
            </w:r>
          </w:p>
        </w:tc>
      </w:tr>
      <w:tr w14:paraId="08F9F4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57" w:type="pct"/>
            <w:tcBorders>
              <w:tl2br w:val="nil"/>
              <w:tr2bl w:val="nil"/>
            </w:tcBorders>
            <w:vAlign w:val="center"/>
          </w:tcPr>
          <w:p w14:paraId="0B75221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vertAlign w:val="baseline"/>
                <w:lang w:val="en-US" w:eastAsia="zh-CN"/>
              </w:rPr>
            </w:pPr>
            <w:r>
              <w:rPr>
                <w:rFonts w:hint="eastAsia" w:ascii="楷体" w:hAnsi="楷体" w:eastAsia="楷体" w:cs="楷体"/>
                <w:b/>
                <w:bCs/>
                <w:color w:val="E56437"/>
                <w:sz w:val="24"/>
                <w:szCs w:val="24"/>
                <w:lang w:val="en-US" w:eastAsia="zh-CN"/>
              </w:rPr>
              <w:t>调解</w:t>
            </w:r>
          </w:p>
        </w:tc>
        <w:tc>
          <w:tcPr>
            <w:tcW w:w="4242" w:type="pct"/>
            <w:tcBorders>
              <w:tl2br w:val="nil"/>
              <w:tr2bl w:val="nil"/>
            </w:tcBorders>
            <w:vAlign w:val="top"/>
          </w:tcPr>
          <w:p w14:paraId="505A4C4D">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指争议双方当事人在第三方的主持下，就如何解决该纠纷达成协议，即调解协议；特点在于</w:t>
            </w:r>
            <w:r>
              <w:rPr>
                <w:rFonts w:hint="eastAsia" w:ascii="楷体" w:hAnsi="楷体" w:eastAsia="楷体" w:cs="楷体"/>
                <w:color w:val="FF0000"/>
                <w:lang w:val="en-US" w:eastAsia="zh-CN"/>
              </w:rPr>
              <w:t>有第三方介入</w:t>
            </w:r>
            <w:r>
              <w:rPr>
                <w:rFonts w:hint="eastAsia" w:ascii="楷体" w:hAnsi="楷体" w:eastAsia="楷体" w:cs="楷体"/>
                <w:color w:val="auto"/>
                <w:lang w:val="en-US" w:eastAsia="zh-CN"/>
              </w:rPr>
              <w:t>；反悔不能起诉，</w:t>
            </w:r>
            <w:r>
              <w:rPr>
                <w:rFonts w:hint="eastAsia" w:ascii="楷体" w:hAnsi="楷体" w:eastAsia="楷体" w:cs="楷体"/>
                <w:color w:val="FF0000"/>
                <w:lang w:val="en-US" w:eastAsia="zh-CN"/>
              </w:rPr>
              <w:t>不能强制执行</w:t>
            </w:r>
          </w:p>
        </w:tc>
      </w:tr>
      <w:tr w14:paraId="44F96A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57" w:type="pct"/>
            <w:tcBorders>
              <w:tl2br w:val="nil"/>
              <w:tr2bl w:val="nil"/>
            </w:tcBorders>
            <w:vAlign w:val="center"/>
          </w:tcPr>
          <w:p w14:paraId="77330DF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vertAlign w:val="baseline"/>
                <w:lang w:val="en-US" w:eastAsia="zh-CN"/>
              </w:rPr>
            </w:pPr>
            <w:r>
              <w:rPr>
                <w:rFonts w:hint="eastAsia" w:ascii="楷体" w:hAnsi="楷体" w:eastAsia="楷体" w:cs="楷体"/>
                <w:b/>
                <w:bCs/>
                <w:color w:val="E56437"/>
                <w:sz w:val="24"/>
                <w:szCs w:val="24"/>
                <w:lang w:val="en-US" w:eastAsia="zh-CN"/>
              </w:rPr>
              <w:t>仲裁</w:t>
            </w:r>
          </w:p>
        </w:tc>
        <w:tc>
          <w:tcPr>
            <w:tcW w:w="4242" w:type="pct"/>
            <w:tcBorders>
              <w:tl2br w:val="nil"/>
              <w:tr2bl w:val="nil"/>
            </w:tcBorders>
            <w:vAlign w:val="top"/>
          </w:tcPr>
          <w:p w14:paraId="4FE63594">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是指争议双方当事人协议将争议交由其共同选定的仲裁机构进行裁决；</w:t>
            </w:r>
            <w:r>
              <w:rPr>
                <w:rFonts w:hint="eastAsia" w:ascii="楷体" w:hAnsi="楷体" w:eastAsia="楷体" w:cs="楷体"/>
                <w:color w:val="FF0000"/>
                <w:lang w:val="en-US" w:eastAsia="zh-CN"/>
              </w:rPr>
              <w:t>仲裁裁决具有强制力</w:t>
            </w:r>
          </w:p>
        </w:tc>
      </w:tr>
      <w:tr w14:paraId="13BC46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57" w:type="pct"/>
            <w:tcBorders>
              <w:tl2br w:val="nil"/>
              <w:tr2bl w:val="nil"/>
            </w:tcBorders>
            <w:vAlign w:val="center"/>
          </w:tcPr>
          <w:p w14:paraId="5A1EE7E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vertAlign w:val="baseline"/>
                <w:lang w:val="en-US" w:eastAsia="zh-CN"/>
              </w:rPr>
            </w:pPr>
            <w:r>
              <w:rPr>
                <w:rFonts w:hint="eastAsia" w:ascii="楷体" w:hAnsi="楷体" w:eastAsia="楷体" w:cs="楷体"/>
                <w:b/>
                <w:bCs/>
                <w:color w:val="E56437"/>
                <w:sz w:val="24"/>
                <w:szCs w:val="24"/>
                <w:lang w:val="en-US" w:eastAsia="zh-CN"/>
              </w:rPr>
              <w:t>劳动仲裁</w:t>
            </w:r>
          </w:p>
        </w:tc>
        <w:tc>
          <w:tcPr>
            <w:tcW w:w="4242" w:type="pct"/>
            <w:tcBorders>
              <w:tl2br w:val="nil"/>
              <w:tr2bl w:val="nil"/>
            </w:tcBorders>
            <w:vAlign w:val="top"/>
          </w:tcPr>
          <w:p w14:paraId="555C0453">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楷体" w:hAnsi="楷体" w:eastAsia="楷体" w:cs="楷体"/>
                <w:color w:val="auto"/>
                <w:vertAlign w:val="baseline"/>
                <w:lang w:val="en-US" w:eastAsia="zh-CN"/>
              </w:rPr>
            </w:pPr>
            <w:r>
              <w:rPr>
                <w:rFonts w:hint="eastAsia" w:ascii="楷体" w:hAnsi="楷体" w:eastAsia="楷体" w:cs="楷体"/>
                <w:color w:val="FF0000"/>
                <w:lang w:val="en-US" w:eastAsia="zh-CN"/>
              </w:rPr>
              <w:t>先裁后诉，</w:t>
            </w:r>
            <w:r>
              <w:rPr>
                <w:rFonts w:hint="eastAsia" w:ascii="楷体" w:hAnsi="楷体" w:eastAsia="楷体" w:cs="楷体"/>
                <w:color w:val="auto"/>
                <w:lang w:val="en-US" w:eastAsia="zh-CN"/>
              </w:rPr>
              <w:t>即劳动争议发生后，当事人必须</w:t>
            </w:r>
            <w:r>
              <w:rPr>
                <w:rFonts w:hint="eastAsia" w:ascii="楷体" w:hAnsi="楷体" w:eastAsia="楷体" w:cs="楷体"/>
                <w:color w:val="FF0000"/>
                <w:lang w:val="en-US" w:eastAsia="zh-CN"/>
              </w:rPr>
              <w:t>先向劳动争议仲裁委员会申请仲</w:t>
            </w:r>
            <w:r>
              <w:rPr>
                <w:rFonts w:hint="eastAsia" w:ascii="楷体" w:hAnsi="楷体" w:eastAsia="楷体" w:cs="楷体"/>
                <w:color w:val="auto"/>
                <w:lang w:val="en-US" w:eastAsia="zh-CN"/>
              </w:rPr>
              <w:t>裁，若对裁决不服，则可在15日内向人民法院起诉</w:t>
            </w:r>
          </w:p>
        </w:tc>
      </w:tr>
      <w:tr w14:paraId="6D5004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57" w:type="pct"/>
            <w:tcBorders>
              <w:tl2br w:val="nil"/>
              <w:tr2bl w:val="nil"/>
            </w:tcBorders>
            <w:vAlign w:val="center"/>
          </w:tcPr>
          <w:p w14:paraId="2A0D346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vertAlign w:val="baseline"/>
                <w:lang w:val="en-US" w:eastAsia="zh-CN"/>
              </w:rPr>
            </w:pPr>
            <w:r>
              <w:rPr>
                <w:rFonts w:hint="eastAsia" w:ascii="楷体" w:hAnsi="楷体" w:eastAsia="楷体" w:cs="楷体"/>
                <w:b/>
                <w:bCs/>
                <w:color w:val="E56437"/>
                <w:sz w:val="24"/>
                <w:szCs w:val="24"/>
                <w:lang w:val="en-US" w:eastAsia="zh-CN"/>
              </w:rPr>
              <w:t>诉讼</w:t>
            </w:r>
          </w:p>
        </w:tc>
        <w:tc>
          <w:tcPr>
            <w:tcW w:w="4242" w:type="pct"/>
            <w:tcBorders>
              <w:tl2br w:val="nil"/>
              <w:tr2bl w:val="nil"/>
            </w:tcBorders>
            <w:vAlign w:val="top"/>
          </w:tcPr>
          <w:p w14:paraId="10B925D3">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诉讼具有公权性、强制性、严格程序性，是</w:t>
            </w:r>
            <w:r>
              <w:rPr>
                <w:rFonts w:hint="eastAsia" w:ascii="楷体" w:hAnsi="楷体" w:eastAsia="楷体" w:cs="楷体"/>
                <w:lang w:val="en-US" w:eastAsia="zh-CN"/>
              </w:rPr>
              <w:t>最后一道救济途径；判决书、裁定书，</w:t>
            </w:r>
            <w:r>
              <w:rPr>
                <w:rFonts w:hint="eastAsia" w:ascii="楷体" w:hAnsi="楷体" w:eastAsia="楷体" w:cs="楷体"/>
                <w:color w:val="FF0000"/>
                <w:lang w:val="en-US" w:eastAsia="zh-CN"/>
              </w:rPr>
              <w:t>能强制执行</w:t>
            </w:r>
          </w:p>
        </w:tc>
      </w:tr>
    </w:tbl>
    <w:p w14:paraId="65B8E4C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p>
    <w:p w14:paraId="00028B39">
      <w:pPr>
        <w:pStyle w:val="3"/>
        <w:bidi w:val="0"/>
        <w:rPr>
          <w:rFonts w:hint="eastAsia" w:ascii="楷体" w:hAnsi="楷体" w:eastAsia="楷体" w:cs="楷体"/>
          <w:lang w:val="en-US" w:eastAsia="zh-CN"/>
        </w:rPr>
      </w:pPr>
      <w:bookmarkStart w:id="3" w:name="_Toc28151"/>
      <w:bookmarkStart w:id="4" w:name="_Toc23019"/>
      <w:bookmarkStart w:id="5" w:name="_Toc11078"/>
      <w:r>
        <w:rPr>
          <w:rFonts w:hint="eastAsia" w:ascii="楷体" w:hAnsi="楷体" w:eastAsia="楷体" w:cs="楷体"/>
          <w:lang w:val="en-US" w:eastAsia="zh-CN"/>
        </w:rPr>
        <w:t>专题二 民事诉讼法的基本原则</w:t>
      </w:r>
      <w:bookmarkEnd w:id="3"/>
      <w:bookmarkEnd w:id="4"/>
      <w:bookmarkEnd w:id="5"/>
    </w:p>
    <w:p w14:paraId="1B1643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考点2：基本原则</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24"/>
        <w:gridCol w:w="7298"/>
      </w:tblGrid>
      <w:tr w14:paraId="0294FA2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8" w:type="pct"/>
            <w:tcBorders>
              <w:tl2br w:val="nil"/>
              <w:tr2bl w:val="nil"/>
            </w:tcBorders>
            <w:vAlign w:val="center"/>
          </w:tcPr>
          <w:p w14:paraId="50BC78E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平等原则</w:t>
            </w:r>
          </w:p>
        </w:tc>
        <w:tc>
          <w:tcPr>
            <w:tcW w:w="4281" w:type="pct"/>
            <w:tcBorders>
              <w:tl2br w:val="nil"/>
              <w:tr2bl w:val="nil"/>
            </w:tcBorders>
          </w:tcPr>
          <w:p w14:paraId="3E8A0DB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权利的相同性与权利的对应性，根本在于</w:t>
            </w:r>
            <w:r>
              <w:rPr>
                <w:rFonts w:hint="eastAsia" w:ascii="楷体" w:hAnsi="楷体" w:eastAsia="楷体" w:cs="楷体"/>
                <w:color w:val="FF0000"/>
                <w:lang w:val="en-US" w:eastAsia="zh-CN"/>
              </w:rPr>
              <w:t>不同地位的当事人享有相同权利</w:t>
            </w:r>
          </w:p>
        </w:tc>
      </w:tr>
      <w:tr w14:paraId="29664B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8" w:type="pct"/>
            <w:tcBorders>
              <w:tl2br w:val="nil"/>
              <w:tr2bl w:val="nil"/>
            </w:tcBorders>
            <w:vAlign w:val="center"/>
          </w:tcPr>
          <w:p w14:paraId="6F53E8E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同等原则</w:t>
            </w:r>
          </w:p>
        </w:tc>
        <w:tc>
          <w:tcPr>
            <w:tcW w:w="4281" w:type="pct"/>
            <w:tcBorders>
              <w:tl2br w:val="nil"/>
              <w:tr2bl w:val="nil"/>
            </w:tcBorders>
          </w:tcPr>
          <w:p w14:paraId="03F41B1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外国人和中国人在中国进行民事诉讼，享有相同的权利，根本在于</w:t>
            </w:r>
            <w:r>
              <w:rPr>
                <w:rFonts w:hint="eastAsia" w:ascii="楷体" w:hAnsi="楷体" w:eastAsia="楷体" w:cs="楷体"/>
                <w:color w:val="FF0000"/>
                <w:lang w:val="en-US" w:eastAsia="zh-CN"/>
              </w:rPr>
              <w:t>外国人和中国人享有相同权利</w:t>
            </w:r>
          </w:p>
        </w:tc>
      </w:tr>
      <w:tr w14:paraId="098EF8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8" w:type="pct"/>
            <w:tcBorders>
              <w:tl2br w:val="nil"/>
              <w:tr2bl w:val="nil"/>
            </w:tcBorders>
            <w:vAlign w:val="center"/>
          </w:tcPr>
          <w:p w14:paraId="542EC5C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对等原则</w:t>
            </w:r>
          </w:p>
        </w:tc>
        <w:tc>
          <w:tcPr>
            <w:tcW w:w="4281" w:type="pct"/>
            <w:tcBorders>
              <w:tl2br w:val="nil"/>
              <w:tr2bl w:val="nil"/>
            </w:tcBorders>
          </w:tcPr>
          <w:p w14:paraId="0CE28E7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外国法院限制我国主体在外国法院诉讼的权利，我国法院</w:t>
            </w:r>
            <w:r>
              <w:rPr>
                <w:rFonts w:hint="eastAsia" w:ascii="楷体" w:hAnsi="楷体" w:eastAsia="楷体" w:cs="楷体"/>
                <w:color w:val="FF0000"/>
                <w:lang w:val="en-US" w:eastAsia="zh-CN"/>
              </w:rPr>
              <w:t>实行对等限制，</w:t>
            </w:r>
            <w:r>
              <w:rPr>
                <w:rFonts w:hint="eastAsia" w:ascii="楷体" w:hAnsi="楷体" w:eastAsia="楷体" w:cs="楷体"/>
                <w:color w:val="auto"/>
                <w:lang w:val="en-US" w:eastAsia="zh-CN"/>
              </w:rPr>
              <w:t>即也相应的限制该国当事人在我国的诉讼权利</w:t>
            </w:r>
          </w:p>
        </w:tc>
      </w:tr>
      <w:tr w14:paraId="4BD374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8" w:type="pct"/>
            <w:tcBorders>
              <w:tl2br w:val="nil"/>
              <w:tr2bl w:val="nil"/>
            </w:tcBorders>
            <w:vAlign w:val="center"/>
          </w:tcPr>
          <w:p w14:paraId="451F9E2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处分原则</w:t>
            </w:r>
          </w:p>
        </w:tc>
        <w:tc>
          <w:tcPr>
            <w:tcW w:w="4281" w:type="pct"/>
            <w:tcBorders>
              <w:tl2br w:val="nil"/>
              <w:tr2bl w:val="nil"/>
            </w:tcBorders>
          </w:tcPr>
          <w:p w14:paraId="22842C0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指的是当事人有权在法律规定的范围内处分自己的</w:t>
            </w:r>
            <w:r>
              <w:rPr>
                <w:rFonts w:hint="eastAsia" w:ascii="楷体" w:hAnsi="楷体" w:eastAsia="楷体" w:cs="楷体"/>
                <w:color w:val="FF0000"/>
                <w:lang w:val="en-US" w:eastAsia="zh-CN"/>
              </w:rPr>
              <w:t>实体权利（比如是否要人身损害赔偿）和程序性权利（比如上诉与否）</w:t>
            </w:r>
          </w:p>
        </w:tc>
      </w:tr>
      <w:tr w14:paraId="59E756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8" w:type="pct"/>
            <w:tcBorders>
              <w:tl2br w:val="nil"/>
              <w:tr2bl w:val="nil"/>
            </w:tcBorders>
            <w:vAlign w:val="center"/>
          </w:tcPr>
          <w:p w14:paraId="354340B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辩论原则</w:t>
            </w:r>
          </w:p>
        </w:tc>
        <w:tc>
          <w:tcPr>
            <w:tcW w:w="4281" w:type="pct"/>
            <w:tcBorders>
              <w:tl2br w:val="nil"/>
              <w:tr2bl w:val="nil"/>
            </w:tcBorders>
          </w:tcPr>
          <w:p w14:paraId="34FA90D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lang w:val="en-US" w:eastAsia="zh-CN"/>
              </w:rPr>
              <w:t>辩论贯穿于诉讼的整个过程，辩论的内容既包括</w:t>
            </w:r>
            <w:r>
              <w:rPr>
                <w:rFonts w:hint="eastAsia" w:ascii="楷体" w:hAnsi="楷体" w:eastAsia="楷体" w:cs="楷体"/>
                <w:color w:val="FF0000"/>
                <w:lang w:val="en-US" w:eastAsia="zh-CN"/>
              </w:rPr>
              <w:t>实体问题</w:t>
            </w:r>
            <w:r>
              <w:rPr>
                <w:rFonts w:hint="eastAsia" w:ascii="楷体" w:hAnsi="楷体" w:eastAsia="楷体" w:cs="楷体"/>
                <w:color w:val="auto"/>
                <w:lang w:val="en-US" w:eastAsia="zh-CN"/>
              </w:rPr>
              <w:t>，也包括</w:t>
            </w:r>
            <w:r>
              <w:rPr>
                <w:rFonts w:hint="eastAsia" w:ascii="楷体" w:hAnsi="楷体" w:eastAsia="楷体" w:cs="楷体"/>
                <w:color w:val="FF0000"/>
                <w:lang w:val="en-US" w:eastAsia="zh-CN"/>
              </w:rPr>
              <w:t>程序性问题、证据方面的问题</w:t>
            </w:r>
          </w:p>
        </w:tc>
      </w:tr>
    </w:tbl>
    <w:p w14:paraId="03D7E08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755C6AF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276A4B1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12E67A7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2A0B296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7196012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24B8773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08E6E68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p>
    <w:p w14:paraId="66008033">
      <w:pPr>
        <w:pStyle w:val="3"/>
        <w:bidi w:val="0"/>
        <w:rPr>
          <w:rFonts w:hint="eastAsia" w:ascii="楷体" w:hAnsi="楷体" w:eastAsia="楷体" w:cs="楷体"/>
          <w:lang w:val="en-US" w:eastAsia="zh-CN"/>
        </w:rPr>
      </w:pPr>
      <w:bookmarkStart w:id="6" w:name="_Toc29139"/>
      <w:bookmarkStart w:id="7" w:name="_Toc15546"/>
      <w:bookmarkStart w:id="8" w:name="_Toc22008"/>
      <w:r>
        <w:rPr>
          <w:rFonts w:hint="eastAsia" w:ascii="楷体" w:hAnsi="楷体" w:eastAsia="楷体" w:cs="楷体"/>
          <w:lang w:val="en-US" w:eastAsia="zh-CN"/>
        </w:rPr>
        <w:t>专题三 民事诉讼法的基本制度</w:t>
      </w:r>
      <w:bookmarkEnd w:id="6"/>
      <w:bookmarkEnd w:id="7"/>
      <w:bookmarkEnd w:id="8"/>
    </w:p>
    <w:p w14:paraId="4B9393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考点3：合议制和独任制</w:t>
      </w:r>
    </w:p>
    <w:tbl>
      <w:tblPr>
        <w:tblStyle w:val="12"/>
        <w:tblW w:w="5000" w:type="pct"/>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64"/>
        <w:gridCol w:w="1088"/>
        <w:gridCol w:w="1904"/>
        <w:gridCol w:w="3866"/>
      </w:tblGrid>
      <w:tr w14:paraId="740056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restart"/>
            <w:tcBorders>
              <w:tl2br w:val="nil"/>
              <w:tr2bl w:val="nil"/>
            </w:tcBorders>
            <w:vAlign w:val="center"/>
          </w:tcPr>
          <w:p w14:paraId="6FB1EB8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kern w:val="0"/>
                <w:sz w:val="24"/>
                <w:szCs w:val="24"/>
                <w:lang w:val="en-US" w:eastAsia="zh-CN" w:bidi="ar"/>
              </w:rPr>
              <w:t>一审</w:t>
            </w:r>
          </w:p>
        </w:tc>
        <w:tc>
          <w:tcPr>
            <w:tcW w:w="638" w:type="pct"/>
            <w:tcBorders>
              <w:tl2br w:val="nil"/>
              <w:tr2bl w:val="nil"/>
            </w:tcBorders>
            <w:vAlign w:val="center"/>
          </w:tcPr>
          <w:p w14:paraId="77F653C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简易程序</w:t>
            </w:r>
          </w:p>
        </w:tc>
        <w:tc>
          <w:tcPr>
            <w:tcW w:w="3384" w:type="pct"/>
            <w:gridSpan w:val="2"/>
            <w:tcBorders>
              <w:tl2br w:val="nil"/>
              <w:tr2bl w:val="nil"/>
            </w:tcBorders>
          </w:tcPr>
          <w:p w14:paraId="5855ED7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应当由审判员独任审理</w:t>
            </w:r>
          </w:p>
        </w:tc>
      </w:tr>
      <w:tr w14:paraId="577F37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continue"/>
            <w:tcBorders>
              <w:tl2br w:val="nil"/>
              <w:tr2bl w:val="nil"/>
            </w:tcBorders>
            <w:vAlign w:val="center"/>
          </w:tcPr>
          <w:p w14:paraId="281CCF1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38" w:type="pct"/>
            <w:vMerge w:val="restart"/>
            <w:tcBorders>
              <w:tl2br w:val="nil"/>
              <w:tr2bl w:val="nil"/>
            </w:tcBorders>
            <w:vAlign w:val="center"/>
          </w:tcPr>
          <w:p w14:paraId="63C0D53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普通程序</w:t>
            </w:r>
          </w:p>
        </w:tc>
        <w:tc>
          <w:tcPr>
            <w:tcW w:w="1117" w:type="pct"/>
            <w:tcBorders>
              <w:tl2br w:val="nil"/>
              <w:tr2bl w:val="nil"/>
            </w:tcBorders>
            <w:vAlign w:val="center"/>
          </w:tcPr>
          <w:p w14:paraId="6F7F993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原则上是合议制</w:t>
            </w:r>
          </w:p>
        </w:tc>
        <w:tc>
          <w:tcPr>
            <w:tcW w:w="2267" w:type="pct"/>
            <w:tcBorders>
              <w:tl2br w:val="nil"/>
              <w:tr2bl w:val="nil"/>
            </w:tcBorders>
          </w:tcPr>
          <w:p w14:paraId="00D37FB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审判员组成或审判员与人民陪审员共同组成合议庭</w:t>
            </w:r>
          </w:p>
        </w:tc>
      </w:tr>
      <w:tr w14:paraId="783813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continue"/>
            <w:tcBorders>
              <w:tl2br w:val="nil"/>
              <w:tr2bl w:val="nil"/>
            </w:tcBorders>
            <w:vAlign w:val="center"/>
          </w:tcPr>
          <w:p w14:paraId="41C0898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38" w:type="pct"/>
            <w:vMerge w:val="continue"/>
            <w:tcBorders>
              <w:tl2br w:val="nil"/>
              <w:tr2bl w:val="nil"/>
            </w:tcBorders>
            <w:vAlign w:val="center"/>
          </w:tcPr>
          <w:p w14:paraId="0FF16A1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p>
        </w:tc>
        <w:tc>
          <w:tcPr>
            <w:tcW w:w="1117" w:type="pct"/>
            <w:tcBorders>
              <w:tl2br w:val="nil"/>
              <w:tr2bl w:val="nil"/>
            </w:tcBorders>
            <w:vAlign w:val="center"/>
          </w:tcPr>
          <w:p w14:paraId="59CB950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独任制是例外</w:t>
            </w:r>
          </w:p>
        </w:tc>
        <w:tc>
          <w:tcPr>
            <w:tcW w:w="2267" w:type="pct"/>
            <w:tcBorders>
              <w:tl2br w:val="nil"/>
              <w:tr2bl w:val="nil"/>
            </w:tcBorders>
          </w:tcPr>
          <w:p w14:paraId="2103590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基层人民法院适用普通程序审理的基本事实清楚、权利义务关系明确的第一审民事案件，可以由审判员独任审理</w:t>
            </w:r>
          </w:p>
        </w:tc>
      </w:tr>
      <w:tr w14:paraId="397B64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restart"/>
            <w:tcBorders>
              <w:tl2br w:val="nil"/>
              <w:tr2bl w:val="nil"/>
            </w:tcBorders>
            <w:vAlign w:val="center"/>
          </w:tcPr>
          <w:p w14:paraId="4D59B03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二审</w:t>
            </w:r>
          </w:p>
        </w:tc>
        <w:tc>
          <w:tcPr>
            <w:tcW w:w="638" w:type="pct"/>
            <w:tcBorders>
              <w:tl2br w:val="nil"/>
              <w:tr2bl w:val="nil"/>
            </w:tcBorders>
            <w:vAlign w:val="center"/>
          </w:tcPr>
          <w:p w14:paraId="6DCE8F5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原则</w:t>
            </w:r>
          </w:p>
        </w:tc>
        <w:tc>
          <w:tcPr>
            <w:tcW w:w="3384" w:type="pct"/>
            <w:gridSpan w:val="2"/>
            <w:tcBorders>
              <w:tl2br w:val="nil"/>
              <w:tr2bl w:val="nil"/>
            </w:tcBorders>
          </w:tcPr>
          <w:p w14:paraId="49B5A5B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应当由审判员组成合议庭审理</w:t>
            </w:r>
          </w:p>
        </w:tc>
      </w:tr>
      <w:tr w14:paraId="2BBCFF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continue"/>
            <w:tcBorders>
              <w:tl2br w:val="nil"/>
              <w:tr2bl w:val="nil"/>
            </w:tcBorders>
            <w:vAlign w:val="center"/>
          </w:tcPr>
          <w:p w14:paraId="3F90F40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38" w:type="pct"/>
            <w:tcBorders>
              <w:tl2br w:val="nil"/>
              <w:tr2bl w:val="nil"/>
            </w:tcBorders>
            <w:vAlign w:val="center"/>
          </w:tcPr>
          <w:p w14:paraId="3982AA4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color w:val="auto"/>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w:t>
            </w:r>
          </w:p>
        </w:tc>
        <w:tc>
          <w:tcPr>
            <w:tcW w:w="3384" w:type="pct"/>
            <w:gridSpan w:val="2"/>
            <w:tcBorders>
              <w:tl2br w:val="nil"/>
              <w:tr2bl w:val="nil"/>
            </w:tcBorders>
          </w:tcPr>
          <w:p w14:paraId="7E8432F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FF0000"/>
                <w:vertAlign w:val="baseline"/>
                <w:lang w:val="en-US" w:eastAsia="zh-CN"/>
              </w:rPr>
              <w:t>中级人民法院对第一审适用简易程序审结或不服裁定提起上诉的第二审民事案件，事实清楚、权利义务关系明确的，经双方当事人同意，可以由审判员独任审理</w:t>
            </w:r>
          </w:p>
        </w:tc>
      </w:tr>
      <w:tr w14:paraId="071E54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tcBorders>
              <w:tl2br w:val="nil"/>
              <w:tr2bl w:val="nil"/>
            </w:tcBorders>
            <w:vAlign w:val="center"/>
          </w:tcPr>
          <w:p w14:paraId="7F7E8FE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再审</w:t>
            </w:r>
          </w:p>
        </w:tc>
        <w:tc>
          <w:tcPr>
            <w:tcW w:w="4023" w:type="pct"/>
            <w:gridSpan w:val="3"/>
            <w:tcBorders>
              <w:tl2br w:val="nil"/>
              <w:tr2bl w:val="nil"/>
            </w:tcBorders>
          </w:tcPr>
          <w:p w14:paraId="1D9F657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1.原来是一审的案件按照一审程序另行组成合议庭</w:t>
            </w:r>
          </w:p>
          <w:p w14:paraId="5C36174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2.原来是二审的案件或者经过提审的案件按照二审程序另行组成合议庭</w:t>
            </w:r>
          </w:p>
        </w:tc>
      </w:tr>
      <w:tr w14:paraId="4F7CEE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restart"/>
            <w:tcBorders>
              <w:tl2br w:val="nil"/>
              <w:tr2bl w:val="nil"/>
            </w:tcBorders>
            <w:vAlign w:val="center"/>
          </w:tcPr>
          <w:p w14:paraId="44D91C2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特别程序</w:t>
            </w:r>
          </w:p>
        </w:tc>
        <w:tc>
          <w:tcPr>
            <w:tcW w:w="4023" w:type="pct"/>
            <w:gridSpan w:val="3"/>
            <w:tcBorders>
              <w:tl2br w:val="nil"/>
              <w:tr2bl w:val="nil"/>
            </w:tcBorders>
          </w:tcPr>
          <w:p w14:paraId="7BA1754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一般适用审判员独任</w:t>
            </w:r>
          </w:p>
        </w:tc>
      </w:tr>
      <w:tr w14:paraId="387568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continue"/>
            <w:tcBorders>
              <w:tl2br w:val="nil"/>
              <w:tr2bl w:val="nil"/>
            </w:tcBorders>
            <w:vAlign w:val="center"/>
          </w:tcPr>
          <w:p w14:paraId="58F14B4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023" w:type="pct"/>
            <w:gridSpan w:val="3"/>
            <w:tcBorders>
              <w:tl2br w:val="nil"/>
              <w:tr2bl w:val="nil"/>
            </w:tcBorders>
          </w:tcPr>
          <w:p w14:paraId="7883B46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仅选民资格案件、重大疑难案件和担保财产标的额超过基层人民法院管辖范围的担保物权的实现案件是合议制，且要求必须由</w:t>
            </w:r>
            <w:r>
              <w:rPr>
                <w:rFonts w:hint="eastAsia" w:ascii="楷体" w:hAnsi="楷体" w:eastAsia="楷体" w:cs="楷体"/>
                <w:color w:val="FF0000"/>
                <w:vertAlign w:val="baseline"/>
                <w:lang w:val="en-US" w:eastAsia="zh-CN"/>
              </w:rPr>
              <w:t>审判员</w:t>
            </w:r>
            <w:r>
              <w:rPr>
                <w:rFonts w:hint="eastAsia" w:ascii="楷体" w:hAnsi="楷体" w:eastAsia="楷体" w:cs="楷体"/>
                <w:color w:val="auto"/>
                <w:vertAlign w:val="baseline"/>
                <w:lang w:val="en-US" w:eastAsia="zh-CN"/>
              </w:rPr>
              <w:t>组成</w:t>
            </w:r>
          </w:p>
        </w:tc>
      </w:tr>
      <w:tr w14:paraId="7A9A03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tcBorders>
              <w:tl2br w:val="nil"/>
              <w:tr2bl w:val="nil"/>
            </w:tcBorders>
            <w:vAlign w:val="center"/>
          </w:tcPr>
          <w:p w14:paraId="4EB04A7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督促程序</w:t>
            </w:r>
          </w:p>
        </w:tc>
        <w:tc>
          <w:tcPr>
            <w:tcW w:w="4023" w:type="pct"/>
            <w:gridSpan w:val="3"/>
            <w:tcBorders>
              <w:tl2br w:val="nil"/>
              <w:tr2bl w:val="nil"/>
            </w:tcBorders>
          </w:tcPr>
          <w:p w14:paraId="4B387B2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适用审判员独任审理</w:t>
            </w:r>
          </w:p>
        </w:tc>
      </w:tr>
      <w:tr w14:paraId="5B10B4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restart"/>
            <w:tcBorders>
              <w:tl2br w:val="nil"/>
              <w:tr2bl w:val="nil"/>
            </w:tcBorders>
            <w:vAlign w:val="center"/>
          </w:tcPr>
          <w:p w14:paraId="2328EF2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公示催告程序</w:t>
            </w:r>
          </w:p>
        </w:tc>
        <w:tc>
          <w:tcPr>
            <w:tcW w:w="4023" w:type="pct"/>
            <w:gridSpan w:val="3"/>
            <w:tcBorders>
              <w:tl2br w:val="nil"/>
              <w:tr2bl w:val="nil"/>
            </w:tcBorders>
          </w:tcPr>
          <w:p w14:paraId="01D457F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公告审理阶段适用独任制</w:t>
            </w:r>
          </w:p>
        </w:tc>
      </w:tr>
      <w:tr w14:paraId="0EDF38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jc w:val="center"/>
        </w:trPr>
        <w:tc>
          <w:tcPr>
            <w:tcW w:w="976" w:type="pct"/>
            <w:vMerge w:val="continue"/>
            <w:tcBorders>
              <w:tl2br w:val="nil"/>
              <w:tr2bl w:val="nil"/>
            </w:tcBorders>
          </w:tcPr>
          <w:p w14:paraId="5AE1A57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p>
        </w:tc>
        <w:tc>
          <w:tcPr>
            <w:tcW w:w="4023" w:type="pct"/>
            <w:gridSpan w:val="3"/>
            <w:tcBorders>
              <w:tl2br w:val="nil"/>
              <w:tr2bl w:val="nil"/>
            </w:tcBorders>
          </w:tcPr>
          <w:p w14:paraId="354A351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FF0000"/>
                <w:vertAlign w:val="baseline"/>
                <w:lang w:val="en-US" w:eastAsia="zh-CN"/>
              </w:rPr>
              <w:t>除权判决阶段</w:t>
            </w:r>
            <w:r>
              <w:rPr>
                <w:rFonts w:hint="eastAsia" w:ascii="楷体" w:hAnsi="楷体" w:eastAsia="楷体" w:cs="楷体"/>
                <w:color w:val="auto"/>
                <w:vertAlign w:val="baseline"/>
                <w:lang w:val="en-US" w:eastAsia="zh-CN"/>
              </w:rPr>
              <w:t>，由审判员组成合议庭审理</w:t>
            </w:r>
          </w:p>
        </w:tc>
      </w:tr>
    </w:tbl>
    <w:p w14:paraId="45DE7A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考点4：回避制度</w:t>
      </w:r>
    </w:p>
    <w:tbl>
      <w:tblPr>
        <w:tblStyle w:val="12"/>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54"/>
        <w:gridCol w:w="1271"/>
        <w:gridCol w:w="5794"/>
      </w:tblGrid>
      <w:tr w14:paraId="5D1D45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tcBorders>
              <w:tl2br w:val="nil"/>
              <w:tr2bl w:val="nil"/>
            </w:tcBorders>
            <w:vAlign w:val="center"/>
          </w:tcPr>
          <w:p w14:paraId="3A44DE8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适用对象</w:t>
            </w:r>
          </w:p>
        </w:tc>
        <w:tc>
          <w:tcPr>
            <w:tcW w:w="4146" w:type="pct"/>
            <w:gridSpan w:val="2"/>
            <w:tcBorders>
              <w:tl2br w:val="nil"/>
              <w:tr2bl w:val="nil"/>
            </w:tcBorders>
          </w:tcPr>
          <w:p w14:paraId="00CA0F6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审判员、陪审员、书记员、法官助理、司法技术人员、鉴定人、勘验人、翻译人员</w:t>
            </w:r>
          </w:p>
        </w:tc>
      </w:tr>
      <w:tr w14:paraId="3A98EB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vMerge w:val="restart"/>
            <w:tcBorders>
              <w:tl2br w:val="nil"/>
              <w:tr2bl w:val="nil"/>
            </w:tcBorders>
            <w:vAlign w:val="center"/>
          </w:tcPr>
          <w:p w14:paraId="54A5736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法定原因</w:t>
            </w:r>
          </w:p>
        </w:tc>
        <w:tc>
          <w:tcPr>
            <w:tcW w:w="746" w:type="pct"/>
            <w:tcBorders>
              <w:tl2br w:val="nil"/>
              <w:tr2bl w:val="nil"/>
            </w:tcBorders>
            <w:vAlign w:val="center"/>
          </w:tcPr>
          <w:p w14:paraId="7DB5D31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自行回避＋申请回避</w:t>
            </w:r>
          </w:p>
        </w:tc>
        <w:tc>
          <w:tcPr>
            <w:tcW w:w="3399" w:type="pct"/>
            <w:tcBorders>
              <w:tl2br w:val="nil"/>
              <w:tr2bl w:val="nil"/>
            </w:tcBorders>
          </w:tcPr>
          <w:p w14:paraId="20421F2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1.是</w:t>
            </w:r>
            <w:r>
              <w:rPr>
                <w:rFonts w:hint="eastAsia" w:ascii="楷体" w:hAnsi="楷体" w:eastAsia="楷体" w:cs="楷体"/>
                <w:color w:val="FF0000"/>
                <w:vertAlign w:val="baseline"/>
                <w:lang w:val="en-US" w:eastAsia="zh-CN"/>
              </w:rPr>
              <w:t>本案当事人</w:t>
            </w:r>
            <w:r>
              <w:rPr>
                <w:rFonts w:hint="eastAsia" w:ascii="楷体" w:hAnsi="楷体" w:eastAsia="楷体" w:cs="楷体"/>
                <w:vertAlign w:val="baseline"/>
                <w:lang w:val="en-US" w:eastAsia="zh-CN"/>
              </w:rPr>
              <w:t>或者</w:t>
            </w:r>
            <w:r>
              <w:rPr>
                <w:rFonts w:hint="eastAsia" w:ascii="楷体" w:hAnsi="楷体" w:eastAsia="楷体" w:cs="楷体"/>
                <w:color w:val="FF0000"/>
                <w:vertAlign w:val="baseline"/>
                <w:lang w:val="en-US" w:eastAsia="zh-CN"/>
              </w:rPr>
              <w:t>当事人、诉讼代理人近亲属</w:t>
            </w:r>
            <w:r>
              <w:rPr>
                <w:rFonts w:hint="eastAsia" w:ascii="楷体" w:hAnsi="楷体" w:eastAsia="楷体" w:cs="楷体"/>
                <w:vertAlign w:val="baseline"/>
                <w:lang w:val="en-US" w:eastAsia="zh-CN"/>
              </w:rPr>
              <w:t>的</w:t>
            </w:r>
          </w:p>
          <w:p w14:paraId="3B0BBDF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2.与本案有</w:t>
            </w:r>
            <w:r>
              <w:rPr>
                <w:rFonts w:hint="eastAsia" w:ascii="楷体" w:hAnsi="楷体" w:eastAsia="楷体" w:cs="楷体"/>
                <w:color w:val="FF0000"/>
                <w:vertAlign w:val="baseline"/>
                <w:lang w:val="en-US" w:eastAsia="zh-CN"/>
              </w:rPr>
              <w:t>利害关系</w:t>
            </w:r>
            <w:r>
              <w:rPr>
                <w:rFonts w:hint="eastAsia" w:ascii="楷体" w:hAnsi="楷体" w:eastAsia="楷体" w:cs="楷体"/>
                <w:vertAlign w:val="baseline"/>
                <w:lang w:val="en-US" w:eastAsia="zh-CN"/>
              </w:rPr>
              <w:t>的</w:t>
            </w:r>
          </w:p>
          <w:p w14:paraId="7405800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3.与本案当事人、诉讼代理人有</w:t>
            </w:r>
            <w:r>
              <w:rPr>
                <w:rFonts w:hint="eastAsia" w:ascii="楷体" w:hAnsi="楷体" w:eastAsia="楷体" w:cs="楷体"/>
                <w:color w:val="FF0000"/>
                <w:vertAlign w:val="baseline"/>
                <w:lang w:val="en-US" w:eastAsia="zh-CN"/>
              </w:rPr>
              <w:t>其他关系</w:t>
            </w:r>
            <w:r>
              <w:rPr>
                <w:rFonts w:hint="eastAsia" w:ascii="楷体" w:hAnsi="楷体" w:eastAsia="楷体" w:cs="楷体"/>
                <w:vertAlign w:val="baseline"/>
                <w:lang w:val="en-US" w:eastAsia="zh-CN"/>
              </w:rPr>
              <w:t>，可能影响对案件公正审理的</w:t>
            </w:r>
          </w:p>
          <w:p w14:paraId="5EF6FAB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4.本人或者其近亲属</w:t>
            </w:r>
            <w:r>
              <w:rPr>
                <w:rFonts w:hint="eastAsia" w:ascii="楷体" w:hAnsi="楷体" w:eastAsia="楷体" w:cs="楷体"/>
                <w:color w:val="FF0000"/>
                <w:vertAlign w:val="baseline"/>
                <w:lang w:val="en-US" w:eastAsia="zh-CN"/>
              </w:rPr>
              <w:t>持有本案非上市公司当事人的股份或者股权的</w:t>
            </w:r>
          </w:p>
          <w:p w14:paraId="7ED238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5.担任过本案的</w:t>
            </w:r>
            <w:r>
              <w:rPr>
                <w:rFonts w:hint="eastAsia" w:ascii="楷体" w:hAnsi="楷体" w:eastAsia="楷体" w:cs="楷体"/>
                <w:color w:val="FF0000"/>
                <w:vertAlign w:val="baseline"/>
                <w:lang w:val="en-US" w:eastAsia="zh-CN"/>
              </w:rPr>
              <w:t>证人、鉴定人、辩护人、诉讼代理人、翻译人员</w:t>
            </w:r>
            <w:r>
              <w:rPr>
                <w:rFonts w:hint="eastAsia" w:ascii="楷体" w:hAnsi="楷体" w:eastAsia="楷体" w:cs="楷体"/>
                <w:vertAlign w:val="baseline"/>
                <w:lang w:val="en-US" w:eastAsia="zh-CN"/>
              </w:rPr>
              <w:t>的</w:t>
            </w:r>
          </w:p>
        </w:tc>
      </w:tr>
      <w:tr w14:paraId="386F8C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vMerge w:val="continue"/>
            <w:tcBorders>
              <w:tl2br w:val="nil"/>
              <w:tr2bl w:val="nil"/>
            </w:tcBorders>
            <w:vAlign w:val="center"/>
          </w:tcPr>
          <w:p w14:paraId="76810B0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746" w:type="pct"/>
            <w:tcBorders>
              <w:tl2br w:val="nil"/>
              <w:tr2bl w:val="nil"/>
            </w:tcBorders>
            <w:vAlign w:val="center"/>
          </w:tcPr>
          <w:p w14:paraId="1D83436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申请</w:t>
            </w:r>
          </w:p>
          <w:p w14:paraId="44D5C32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回避</w:t>
            </w:r>
          </w:p>
        </w:tc>
        <w:tc>
          <w:tcPr>
            <w:tcW w:w="3399" w:type="pct"/>
            <w:tcBorders>
              <w:tl2br w:val="nil"/>
              <w:tr2bl w:val="nil"/>
            </w:tcBorders>
          </w:tcPr>
          <w:p w14:paraId="09C8A08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6.接受本案当事人及其受托人宴请，或者参加由其支付费用的活动的</w:t>
            </w:r>
          </w:p>
          <w:p w14:paraId="0198EAC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7.索取、接受本案当事人及其受托人财物或者其他利益的</w:t>
            </w:r>
          </w:p>
          <w:p w14:paraId="6105618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8.为本案当事人推荐、介绍诉讼代理人，或者为律师、其他人员介绍代理本案的</w:t>
            </w:r>
          </w:p>
          <w:p w14:paraId="3FCD772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9.向本案当事人及其受托人借用款物的</w:t>
            </w:r>
          </w:p>
          <w:p w14:paraId="63BF31F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10.审判人员接受当事人、诉讼代理人请客送礼，或者违反规定会见当事人、诉讼代理人的</w:t>
            </w:r>
          </w:p>
        </w:tc>
      </w:tr>
      <w:tr w14:paraId="2693E8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vMerge w:val="restart"/>
            <w:tcBorders>
              <w:tl2br w:val="nil"/>
              <w:tr2bl w:val="nil"/>
            </w:tcBorders>
            <w:vAlign w:val="center"/>
          </w:tcPr>
          <w:p w14:paraId="1FDAFCB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申请程序</w:t>
            </w:r>
          </w:p>
        </w:tc>
        <w:tc>
          <w:tcPr>
            <w:tcW w:w="746" w:type="pct"/>
            <w:tcBorders>
              <w:tl2br w:val="nil"/>
              <w:tr2bl w:val="nil"/>
            </w:tcBorders>
            <w:vAlign w:val="center"/>
          </w:tcPr>
          <w:p w14:paraId="4C2AAB8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方式</w:t>
            </w:r>
          </w:p>
        </w:tc>
        <w:tc>
          <w:tcPr>
            <w:tcW w:w="3399" w:type="pct"/>
            <w:tcBorders>
              <w:tl2br w:val="nil"/>
              <w:tr2bl w:val="nil"/>
            </w:tcBorders>
          </w:tcPr>
          <w:p w14:paraId="5EF6A6F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口头、书面</w:t>
            </w:r>
            <w:r>
              <w:rPr>
                <w:rFonts w:hint="eastAsia" w:ascii="楷体" w:hAnsi="楷体" w:eastAsia="楷体" w:cs="楷体"/>
                <w:vertAlign w:val="baseline"/>
                <w:lang w:val="en-US" w:eastAsia="zh-CN"/>
              </w:rPr>
              <w:t>；申请回避应当说明理由</w:t>
            </w:r>
          </w:p>
        </w:tc>
      </w:tr>
      <w:tr w14:paraId="0762CF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vMerge w:val="continue"/>
            <w:tcBorders>
              <w:tl2br w:val="nil"/>
              <w:tr2bl w:val="nil"/>
            </w:tcBorders>
            <w:vAlign w:val="center"/>
          </w:tcPr>
          <w:p w14:paraId="32AEFB6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746" w:type="pct"/>
            <w:tcBorders>
              <w:tl2br w:val="nil"/>
              <w:tr2bl w:val="nil"/>
            </w:tcBorders>
            <w:vAlign w:val="center"/>
          </w:tcPr>
          <w:p w14:paraId="7E0A047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时间</w:t>
            </w:r>
          </w:p>
        </w:tc>
        <w:tc>
          <w:tcPr>
            <w:tcW w:w="3399" w:type="pct"/>
            <w:tcBorders>
              <w:tl2br w:val="nil"/>
              <w:tr2bl w:val="nil"/>
            </w:tcBorders>
          </w:tcPr>
          <w:p w14:paraId="4895088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案件开始审理时提出，但是在开始审理后知道回避事由的，可以在法庭辩论终结前提出</w:t>
            </w:r>
          </w:p>
        </w:tc>
      </w:tr>
      <w:tr w14:paraId="46D0E9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tcBorders>
              <w:tl2br w:val="nil"/>
              <w:tr2bl w:val="nil"/>
            </w:tcBorders>
            <w:vAlign w:val="center"/>
          </w:tcPr>
          <w:p w14:paraId="4DBC822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回避的决定</w:t>
            </w:r>
          </w:p>
        </w:tc>
        <w:tc>
          <w:tcPr>
            <w:tcW w:w="4146" w:type="pct"/>
            <w:gridSpan w:val="2"/>
            <w:tcBorders>
              <w:tl2br w:val="nil"/>
              <w:tr2bl w:val="nil"/>
            </w:tcBorders>
          </w:tcPr>
          <w:p w14:paraId="133D9A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1.审判人员的回避由</w:t>
            </w:r>
            <w:r>
              <w:rPr>
                <w:rFonts w:hint="eastAsia" w:ascii="楷体" w:hAnsi="楷体" w:eastAsia="楷体" w:cs="楷体"/>
                <w:color w:val="FF0000"/>
                <w:vertAlign w:val="baseline"/>
                <w:lang w:val="en-US" w:eastAsia="zh-CN"/>
              </w:rPr>
              <w:t>院长</w:t>
            </w:r>
            <w:r>
              <w:rPr>
                <w:rFonts w:hint="eastAsia" w:ascii="楷体" w:hAnsi="楷体" w:eastAsia="楷体" w:cs="楷体"/>
                <w:vertAlign w:val="baseline"/>
                <w:lang w:val="en-US" w:eastAsia="zh-CN"/>
              </w:rPr>
              <w:t>决定（书记员、执行人员的回避适用审判人员的规定）</w:t>
            </w:r>
          </w:p>
          <w:p w14:paraId="4B6E8D6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2.其他人员的回避由</w:t>
            </w:r>
            <w:r>
              <w:rPr>
                <w:rFonts w:hint="eastAsia" w:ascii="楷体" w:hAnsi="楷体" w:eastAsia="楷体" w:cs="楷体"/>
                <w:color w:val="FF0000"/>
                <w:vertAlign w:val="baseline"/>
                <w:lang w:val="en-US" w:eastAsia="zh-CN"/>
              </w:rPr>
              <w:t>审判长或独任审判员</w:t>
            </w:r>
            <w:r>
              <w:rPr>
                <w:rFonts w:hint="eastAsia" w:ascii="楷体" w:hAnsi="楷体" w:eastAsia="楷体" w:cs="楷体"/>
                <w:vertAlign w:val="baseline"/>
                <w:lang w:val="en-US" w:eastAsia="zh-CN"/>
              </w:rPr>
              <w:t>决定</w:t>
            </w:r>
          </w:p>
          <w:p w14:paraId="78C5985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3.院长担任审判长或独任审判员时的回避由</w:t>
            </w:r>
            <w:r>
              <w:rPr>
                <w:rFonts w:hint="eastAsia" w:ascii="楷体" w:hAnsi="楷体" w:eastAsia="楷体" w:cs="楷体"/>
                <w:color w:val="FF0000"/>
                <w:vertAlign w:val="baseline"/>
                <w:lang w:val="en-US" w:eastAsia="zh-CN"/>
              </w:rPr>
              <w:t>审判委员会</w:t>
            </w:r>
            <w:r>
              <w:rPr>
                <w:rFonts w:hint="eastAsia" w:ascii="楷体" w:hAnsi="楷体" w:eastAsia="楷体" w:cs="楷体"/>
                <w:vertAlign w:val="baseline"/>
                <w:lang w:val="en-US" w:eastAsia="zh-CN"/>
              </w:rPr>
              <w:t>决定</w:t>
            </w:r>
          </w:p>
        </w:tc>
      </w:tr>
      <w:tr w14:paraId="14BB88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3" w:type="pct"/>
            <w:tcBorders>
              <w:tl2br w:val="nil"/>
              <w:tr2bl w:val="nil"/>
            </w:tcBorders>
            <w:vAlign w:val="center"/>
          </w:tcPr>
          <w:p w14:paraId="7897213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救济</w:t>
            </w:r>
          </w:p>
        </w:tc>
        <w:tc>
          <w:tcPr>
            <w:tcW w:w="4146" w:type="pct"/>
            <w:gridSpan w:val="2"/>
            <w:tcBorders>
              <w:tl2br w:val="nil"/>
              <w:tr2bl w:val="nil"/>
            </w:tcBorders>
          </w:tcPr>
          <w:p w14:paraId="706E3CE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申请人对于驳回回避申请的决定不服，可以</w:t>
            </w:r>
            <w:r>
              <w:rPr>
                <w:rFonts w:hint="eastAsia" w:ascii="楷体" w:hAnsi="楷体" w:eastAsia="楷体" w:cs="楷体"/>
                <w:color w:val="FF0000"/>
                <w:vertAlign w:val="baseline"/>
                <w:lang w:val="en-US" w:eastAsia="zh-CN"/>
              </w:rPr>
              <w:t>复议</w:t>
            </w:r>
            <w:r>
              <w:rPr>
                <w:rFonts w:hint="eastAsia" w:ascii="楷体" w:hAnsi="楷体" w:eastAsia="楷体" w:cs="楷体"/>
                <w:vertAlign w:val="baseline"/>
                <w:lang w:val="en-US" w:eastAsia="zh-CN"/>
              </w:rPr>
              <w:t>一次。复议期间，被申请回避人员不停止工作</w:t>
            </w:r>
          </w:p>
        </w:tc>
      </w:tr>
    </w:tbl>
    <w:p w14:paraId="4C324EE2">
      <w:pPr>
        <w:pStyle w:val="3"/>
        <w:bidi w:val="0"/>
        <w:rPr>
          <w:rFonts w:hint="eastAsia" w:ascii="楷体" w:hAnsi="楷体" w:eastAsia="楷体" w:cs="楷体"/>
          <w:lang w:val="en-US" w:eastAsia="zh-CN"/>
        </w:rPr>
      </w:pPr>
      <w:bookmarkStart w:id="9" w:name="_Toc5531"/>
      <w:bookmarkStart w:id="10" w:name="_Toc3695"/>
      <w:bookmarkStart w:id="11" w:name="_Toc32243"/>
      <w:r>
        <w:rPr>
          <w:rFonts w:hint="eastAsia" w:ascii="楷体" w:hAnsi="楷体" w:eastAsia="楷体" w:cs="楷体"/>
          <w:lang w:val="en-US" w:eastAsia="zh-CN"/>
        </w:rPr>
        <w:t>专题四 主管与管辖</w:t>
      </w:r>
      <w:bookmarkEnd w:id="9"/>
      <w:bookmarkEnd w:id="10"/>
      <w:bookmarkEnd w:id="11"/>
    </w:p>
    <w:p w14:paraId="1F1769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考点5：级别管辖</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171"/>
        <w:gridCol w:w="7351"/>
      </w:tblGrid>
      <w:tr w14:paraId="0CAF91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tcBorders>
              <w:tl2br w:val="nil"/>
              <w:tr2bl w:val="nil"/>
            </w:tcBorders>
            <w:vAlign w:val="center"/>
          </w:tcPr>
          <w:p w14:paraId="563D018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基层</w:t>
            </w:r>
          </w:p>
        </w:tc>
        <w:tc>
          <w:tcPr>
            <w:tcW w:w="4312" w:type="pct"/>
            <w:tcBorders>
              <w:tl2br w:val="nil"/>
              <w:tr2bl w:val="nil"/>
            </w:tcBorders>
          </w:tcPr>
          <w:p w14:paraId="3B4F66E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一审案件原则上由基层法院管辖</w:t>
            </w:r>
            <w:r>
              <w:rPr>
                <w:rFonts w:hint="eastAsia" w:ascii="楷体" w:hAnsi="楷体" w:eastAsia="楷体" w:cs="楷体"/>
                <w:lang w:val="en-US" w:eastAsia="zh-CN"/>
              </w:rPr>
              <w:t>，除非法律另有规定</w:t>
            </w:r>
          </w:p>
        </w:tc>
      </w:tr>
      <w:tr w14:paraId="10D4F3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vMerge w:val="restart"/>
            <w:tcBorders>
              <w:tl2br w:val="nil"/>
              <w:tr2bl w:val="nil"/>
            </w:tcBorders>
            <w:vAlign w:val="center"/>
          </w:tcPr>
          <w:p w14:paraId="4B12246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中级</w:t>
            </w:r>
          </w:p>
        </w:tc>
        <w:tc>
          <w:tcPr>
            <w:tcW w:w="4312" w:type="pct"/>
            <w:tcBorders>
              <w:tl2br w:val="nil"/>
              <w:tr2bl w:val="nil"/>
            </w:tcBorders>
          </w:tcPr>
          <w:p w14:paraId="6D8A3C4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重大涉外</w:t>
            </w:r>
            <w:r>
              <w:rPr>
                <w:rFonts w:hint="eastAsia" w:ascii="楷体" w:hAnsi="楷体" w:eastAsia="楷体" w:cs="楷体"/>
                <w:vertAlign w:val="baseline"/>
                <w:lang w:val="en-US" w:eastAsia="zh-CN"/>
              </w:rPr>
              <w:t>案件（</w:t>
            </w:r>
            <w:r>
              <w:rPr>
                <w:rFonts w:hint="eastAsia" w:ascii="楷体" w:hAnsi="楷体" w:eastAsia="楷体" w:cs="楷体"/>
                <w:lang w:val="en-US" w:eastAsia="zh-CN"/>
              </w:rPr>
              <w:t>指争议标的额大，或者案情复杂，或者一方当事人人数众多的涉外案件；重大的涉港、澳、台民事案件）</w:t>
            </w:r>
          </w:p>
        </w:tc>
      </w:tr>
      <w:tr w14:paraId="09449D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vMerge w:val="continue"/>
            <w:tcBorders>
              <w:tl2br w:val="nil"/>
              <w:tr2bl w:val="nil"/>
            </w:tcBorders>
            <w:vAlign w:val="center"/>
          </w:tcPr>
          <w:p w14:paraId="20A602D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312" w:type="pct"/>
            <w:tcBorders>
              <w:tl2br w:val="nil"/>
              <w:tr2bl w:val="nil"/>
            </w:tcBorders>
          </w:tcPr>
          <w:p w14:paraId="5D42229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本辖区</w:t>
            </w:r>
            <w:r>
              <w:rPr>
                <w:rFonts w:hint="eastAsia" w:ascii="楷体" w:hAnsi="楷体" w:eastAsia="楷体" w:cs="楷体"/>
                <w:vertAlign w:val="baseline"/>
                <w:lang w:val="en-US" w:eastAsia="zh-CN"/>
              </w:rPr>
              <w:t>有</w:t>
            </w:r>
            <w:r>
              <w:rPr>
                <w:rFonts w:hint="eastAsia" w:ascii="楷体" w:hAnsi="楷体" w:eastAsia="楷体" w:cs="楷体"/>
                <w:color w:val="FF0000"/>
                <w:vertAlign w:val="baseline"/>
                <w:lang w:val="en-US" w:eastAsia="zh-CN"/>
              </w:rPr>
              <w:t>重大影响</w:t>
            </w:r>
            <w:r>
              <w:rPr>
                <w:rFonts w:hint="eastAsia" w:ascii="楷体" w:hAnsi="楷体" w:eastAsia="楷体" w:cs="楷体"/>
                <w:vertAlign w:val="baseline"/>
                <w:lang w:val="en-US" w:eastAsia="zh-CN"/>
              </w:rPr>
              <w:t>的案件</w:t>
            </w:r>
          </w:p>
        </w:tc>
      </w:tr>
      <w:tr w14:paraId="51ED35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vMerge w:val="continue"/>
            <w:tcBorders>
              <w:tl2br w:val="nil"/>
              <w:tr2bl w:val="nil"/>
            </w:tcBorders>
            <w:vAlign w:val="center"/>
          </w:tcPr>
          <w:p w14:paraId="4EA4B67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312" w:type="pct"/>
            <w:tcBorders>
              <w:tl2br w:val="nil"/>
              <w:tr2bl w:val="nil"/>
            </w:tcBorders>
          </w:tcPr>
          <w:p w14:paraId="3F0C0A9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vertAlign w:val="baseline"/>
                <w:lang w:val="en-US" w:eastAsia="zh-CN"/>
              </w:rPr>
              <w:t>3.</w:t>
            </w:r>
            <w:r>
              <w:rPr>
                <w:rFonts w:hint="eastAsia" w:ascii="楷体" w:hAnsi="楷体" w:eastAsia="楷体" w:cs="楷体"/>
                <w:lang w:val="en-US" w:eastAsia="zh-CN"/>
              </w:rPr>
              <w:t>最高人民法院确定由中级人民法院管辖的案件，具体如下：</w:t>
            </w:r>
          </w:p>
          <w:p w14:paraId="3C7E943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（1）海事海商案件</w:t>
            </w:r>
          </w:p>
          <w:p w14:paraId="4AAB7D9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（2）专利纠纷案件</w:t>
            </w:r>
          </w:p>
          <w:p w14:paraId="446C7F6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（3）确认仲裁协议效力，涉外仲裁的证据、财产保全，仲裁裁决的执行，撤销、不予执行仲裁裁决等</w:t>
            </w:r>
          </w:p>
          <w:p w14:paraId="1B8B140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（4）公益诉讼的案件：法律、司法解释另有规定的除外</w:t>
            </w:r>
          </w:p>
        </w:tc>
      </w:tr>
      <w:tr w14:paraId="3086D9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tcBorders>
              <w:tl2br w:val="nil"/>
              <w:tr2bl w:val="nil"/>
            </w:tcBorders>
            <w:vAlign w:val="center"/>
          </w:tcPr>
          <w:p w14:paraId="254B995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高级</w:t>
            </w:r>
          </w:p>
        </w:tc>
        <w:tc>
          <w:tcPr>
            <w:tcW w:w="4312" w:type="pct"/>
            <w:tcBorders>
              <w:tl2br w:val="nil"/>
              <w:tr2bl w:val="nil"/>
            </w:tcBorders>
          </w:tcPr>
          <w:p w14:paraId="4B96978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本辖区（省、自治区、直辖市）范围中有</w:t>
            </w:r>
            <w:r>
              <w:rPr>
                <w:rFonts w:hint="eastAsia" w:ascii="楷体" w:hAnsi="楷体" w:eastAsia="楷体" w:cs="楷体"/>
                <w:color w:val="FF0000"/>
                <w:vertAlign w:val="baseline"/>
                <w:lang w:val="en-US" w:eastAsia="zh-CN"/>
              </w:rPr>
              <w:t>重大影响</w:t>
            </w:r>
            <w:r>
              <w:rPr>
                <w:rFonts w:hint="eastAsia" w:ascii="楷体" w:hAnsi="楷体" w:eastAsia="楷体" w:cs="楷体"/>
                <w:vertAlign w:val="baseline"/>
                <w:lang w:val="en-US" w:eastAsia="zh-CN"/>
              </w:rPr>
              <w:t>的案件</w:t>
            </w:r>
          </w:p>
        </w:tc>
      </w:tr>
      <w:tr w14:paraId="7481E9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vMerge w:val="restart"/>
            <w:tcBorders>
              <w:tl2br w:val="nil"/>
              <w:tr2bl w:val="nil"/>
            </w:tcBorders>
            <w:vAlign w:val="center"/>
          </w:tcPr>
          <w:p w14:paraId="535F6F3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最高</w:t>
            </w:r>
          </w:p>
        </w:tc>
        <w:tc>
          <w:tcPr>
            <w:tcW w:w="4312" w:type="pct"/>
            <w:tcBorders>
              <w:tl2br w:val="nil"/>
              <w:tr2bl w:val="nil"/>
            </w:tcBorders>
          </w:tcPr>
          <w:p w14:paraId="6140238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1.全国范围有重大影响的案件</w:t>
            </w:r>
          </w:p>
        </w:tc>
      </w:tr>
      <w:tr w14:paraId="26F0D3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87" w:type="pct"/>
            <w:vMerge w:val="continue"/>
            <w:tcBorders>
              <w:tl2br w:val="nil"/>
              <w:tr2bl w:val="nil"/>
            </w:tcBorders>
          </w:tcPr>
          <w:p w14:paraId="38E2B93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4312" w:type="pct"/>
            <w:tcBorders>
              <w:tl2br w:val="nil"/>
              <w:tr2bl w:val="nil"/>
            </w:tcBorders>
          </w:tcPr>
          <w:p w14:paraId="778CAC4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2.认为应当由</w:t>
            </w:r>
            <w:r>
              <w:rPr>
                <w:rFonts w:hint="eastAsia" w:ascii="楷体" w:hAnsi="楷体" w:eastAsia="楷体" w:cs="楷体"/>
                <w:color w:val="FF0000"/>
                <w:vertAlign w:val="baseline"/>
                <w:lang w:val="en-US" w:eastAsia="zh-CN"/>
              </w:rPr>
              <w:t>本院</w:t>
            </w:r>
            <w:r>
              <w:rPr>
                <w:rFonts w:hint="eastAsia" w:ascii="楷体" w:hAnsi="楷体" w:eastAsia="楷体" w:cs="楷体"/>
                <w:vertAlign w:val="baseline"/>
                <w:lang w:val="en-US" w:eastAsia="zh-CN"/>
              </w:rPr>
              <w:t>审理的案件</w:t>
            </w:r>
          </w:p>
        </w:tc>
      </w:tr>
    </w:tbl>
    <w:p w14:paraId="094337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考点6：一般地域管辖</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414"/>
        <w:gridCol w:w="6108"/>
      </w:tblGrid>
      <w:tr w14:paraId="60CA3D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16" w:type="pct"/>
            <w:vMerge w:val="restart"/>
            <w:tcBorders>
              <w:tl2br w:val="nil"/>
              <w:tr2bl w:val="nil"/>
            </w:tcBorders>
            <w:vAlign w:val="center"/>
          </w:tcPr>
          <w:p w14:paraId="59B8768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所在地的确定标准</w:t>
            </w:r>
          </w:p>
        </w:tc>
        <w:tc>
          <w:tcPr>
            <w:tcW w:w="3583" w:type="pct"/>
            <w:tcBorders>
              <w:tl2br w:val="nil"/>
              <w:tr2bl w:val="nil"/>
            </w:tcBorders>
          </w:tcPr>
          <w:p w14:paraId="5BC4BF6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法人和其他组织的所在地就是法人和其他组织的住所地</w:t>
            </w:r>
            <w:r>
              <w:rPr>
                <w:rFonts w:hint="eastAsia" w:ascii="楷体" w:hAnsi="楷体" w:eastAsia="楷体" w:cs="楷体"/>
                <w:lang w:val="en-US" w:eastAsia="zh-CN"/>
              </w:rPr>
              <w:t>。此住所地是指法人和其他组织的主要办事机构所在地；主要办事机构所在地不能确定的，注册地或者登记地为住所地</w:t>
            </w:r>
          </w:p>
        </w:tc>
      </w:tr>
      <w:tr w14:paraId="06FD0B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16" w:type="pct"/>
            <w:vMerge w:val="continue"/>
            <w:tcBorders>
              <w:tl2br w:val="nil"/>
              <w:tr2bl w:val="nil"/>
            </w:tcBorders>
            <w:vAlign w:val="center"/>
          </w:tcPr>
          <w:p w14:paraId="392494C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3583" w:type="pct"/>
            <w:tcBorders>
              <w:tl2br w:val="nil"/>
              <w:tr2bl w:val="nil"/>
            </w:tcBorders>
          </w:tcPr>
          <w:p w14:paraId="024E5EE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自然人所在地包括其住所地、经常居住地和居住地</w:t>
            </w:r>
            <w:r>
              <w:rPr>
                <w:rFonts w:hint="eastAsia" w:ascii="楷体" w:hAnsi="楷体" w:eastAsia="楷体" w:cs="楷体"/>
                <w:lang w:val="en-US" w:eastAsia="zh-CN"/>
              </w:rPr>
              <w:t>。自然人的所在地依下列顺序确定：</w:t>
            </w:r>
          </w:p>
          <w:p w14:paraId="2AA5507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经常居住地优先</w:t>
            </w:r>
            <w:r>
              <w:rPr>
                <w:rFonts w:hint="eastAsia" w:ascii="楷体" w:hAnsi="楷体" w:eastAsia="楷体" w:cs="楷体"/>
                <w:lang w:val="en-US" w:eastAsia="zh-CN"/>
              </w:rPr>
              <w:t>：公民住所地与经常居住地不一致时，经常居住地优先于住所地；住所地未确定时，有经常居住地的，以经常居住地为所在地。经常居住地，公民离开住所至起诉时连续居住满1年的地方，但是公民住院就医的地方除外</w:t>
            </w:r>
          </w:p>
          <w:p w14:paraId="69AF84C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若无经常居住地，以自然人的住所地为所在地</w:t>
            </w:r>
            <w:r>
              <w:rPr>
                <w:rFonts w:hint="eastAsia" w:ascii="楷体" w:hAnsi="楷体" w:eastAsia="楷体" w:cs="楷体"/>
                <w:lang w:val="en-US" w:eastAsia="zh-CN"/>
              </w:rPr>
              <w:t>。自然人的住所地是指该自然人的户口所在地</w:t>
            </w:r>
          </w:p>
          <w:p w14:paraId="6CB9A09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无经常居住地和住所地：户籍迁出后尚未落户，有经常居住地的，由该地人民法院管辖；没有经常居住地的，由其原户籍所在地人民法院管辖</w:t>
            </w:r>
          </w:p>
        </w:tc>
      </w:tr>
      <w:tr w14:paraId="12F32F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16" w:type="pct"/>
            <w:vMerge w:val="restart"/>
            <w:tcBorders>
              <w:tl2br w:val="nil"/>
              <w:tr2bl w:val="nil"/>
            </w:tcBorders>
            <w:vAlign w:val="center"/>
          </w:tcPr>
          <w:p w14:paraId="1D2F286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一般地域管辖的确定</w:t>
            </w:r>
          </w:p>
        </w:tc>
        <w:tc>
          <w:tcPr>
            <w:tcW w:w="3583" w:type="pct"/>
            <w:tcBorders>
              <w:tl2br w:val="nil"/>
              <w:tr2bl w:val="nil"/>
            </w:tcBorders>
          </w:tcPr>
          <w:p w14:paraId="4DDA312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auto"/>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原则（原告就被告）</w:t>
            </w:r>
            <w:r>
              <w:rPr>
                <w:rFonts w:hint="eastAsia" w:ascii="楷体" w:hAnsi="楷体" w:eastAsia="楷体" w:cs="楷体"/>
                <w:color w:val="auto"/>
                <w:lang w:val="en-US" w:eastAsia="zh-CN"/>
              </w:rPr>
              <w:t>：原被告条件相当时（都不自由，都被注销户口），由被告所在地人民法院管辖</w:t>
            </w:r>
          </w:p>
        </w:tc>
      </w:tr>
      <w:tr w14:paraId="7099DD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16" w:type="pct"/>
            <w:vMerge w:val="continue"/>
            <w:tcBorders>
              <w:tl2br w:val="nil"/>
              <w:tr2bl w:val="nil"/>
            </w:tcBorders>
          </w:tcPr>
          <w:p w14:paraId="2C111D0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p>
        </w:tc>
        <w:tc>
          <w:tcPr>
            <w:tcW w:w="3583" w:type="pct"/>
            <w:tcBorders>
              <w:tl2br w:val="nil"/>
              <w:tr2bl w:val="nil"/>
            </w:tcBorders>
          </w:tcPr>
          <w:p w14:paraId="23A7DD1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auto"/>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例外（被告就原告）</w:t>
            </w:r>
            <w:r>
              <w:rPr>
                <w:rFonts w:hint="eastAsia" w:ascii="楷体" w:hAnsi="楷体" w:eastAsia="楷体" w:cs="楷体"/>
                <w:color w:val="auto"/>
                <w:lang w:val="en-US" w:eastAsia="zh-CN"/>
              </w:rPr>
              <w:t>：原被告条件不相当时（原告自由，被告不自由），由原告所在地人民法院管辖</w:t>
            </w:r>
          </w:p>
        </w:tc>
      </w:tr>
    </w:tbl>
    <w:p w14:paraId="2E3E60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考点7：特殊地域管辖</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35"/>
        <w:gridCol w:w="6887"/>
      </w:tblGrid>
      <w:tr w14:paraId="6D53C4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0DF0B8D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侵权案件管辖</w:t>
            </w:r>
          </w:p>
        </w:tc>
        <w:tc>
          <w:tcPr>
            <w:tcW w:w="4040" w:type="pct"/>
            <w:tcBorders>
              <w:tl2br w:val="nil"/>
              <w:tr2bl w:val="nil"/>
            </w:tcBorders>
          </w:tcPr>
          <w:p w14:paraId="7A06DA8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侵权行为地、被告住所地</w:t>
            </w:r>
            <w:r>
              <w:rPr>
                <w:rFonts w:hint="eastAsia" w:ascii="楷体" w:hAnsi="楷体" w:eastAsia="楷体" w:cs="楷体"/>
                <w:color w:val="auto"/>
                <w:lang w:val="en-US" w:eastAsia="zh-CN"/>
              </w:rPr>
              <w:t>（侵权行为地包括侵权行为发生地和结果发生地）</w:t>
            </w:r>
          </w:p>
        </w:tc>
      </w:tr>
      <w:tr w14:paraId="764517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vMerge w:val="restart"/>
            <w:tcBorders>
              <w:tl2br w:val="nil"/>
              <w:tr2bl w:val="nil"/>
            </w:tcBorders>
            <w:vAlign w:val="center"/>
          </w:tcPr>
          <w:p w14:paraId="4EAAE06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合同案件管辖</w:t>
            </w:r>
          </w:p>
        </w:tc>
        <w:tc>
          <w:tcPr>
            <w:tcW w:w="4040" w:type="pct"/>
            <w:tcBorders>
              <w:tl2br w:val="nil"/>
              <w:tr2bl w:val="nil"/>
            </w:tcBorders>
          </w:tcPr>
          <w:p w14:paraId="639BD6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管辖</w:t>
            </w:r>
            <w:r>
              <w:rPr>
                <w:rFonts w:hint="eastAsia" w:ascii="楷体" w:hAnsi="楷体" w:eastAsia="楷体" w:cs="楷体"/>
                <w:color w:val="auto"/>
                <w:lang w:val="en-US" w:eastAsia="zh-CN"/>
              </w:rPr>
              <w:t>：</w:t>
            </w:r>
            <w:r>
              <w:rPr>
                <w:rFonts w:hint="eastAsia" w:ascii="楷体" w:hAnsi="楷体" w:eastAsia="楷体" w:cs="楷体"/>
                <w:color w:val="FF0000"/>
                <w:lang w:val="en-US" w:eastAsia="zh-CN"/>
              </w:rPr>
              <w:t>合同履行地、被告住所地</w:t>
            </w:r>
          </w:p>
        </w:tc>
      </w:tr>
      <w:tr w14:paraId="051DE7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vMerge w:val="continue"/>
            <w:tcBorders>
              <w:tl2br w:val="nil"/>
              <w:tr2bl w:val="nil"/>
            </w:tcBorders>
            <w:vAlign w:val="center"/>
          </w:tcPr>
          <w:p w14:paraId="36ADFD4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040" w:type="pct"/>
            <w:tcBorders>
              <w:tl2br w:val="nil"/>
              <w:tr2bl w:val="nil"/>
            </w:tcBorders>
          </w:tcPr>
          <w:p w14:paraId="71CFC0A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color w:val="auto"/>
                <w:lang w:val="en-US" w:eastAsia="zh-CN"/>
              </w:rPr>
              <w:t>关于合同履行地的判断：</w:t>
            </w:r>
          </w:p>
          <w:p w14:paraId="5D335AB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r>
              <w:rPr>
                <w:rFonts w:hint="eastAsia" w:ascii="楷体" w:hAnsi="楷体" w:eastAsia="楷体" w:cs="楷体"/>
                <w:color w:val="auto"/>
                <w:lang w:val="en-US" w:eastAsia="zh-CN"/>
              </w:rPr>
              <w:t>1.如果</w:t>
            </w:r>
            <w:r>
              <w:rPr>
                <w:rFonts w:hint="eastAsia" w:ascii="楷体" w:hAnsi="楷体" w:eastAsia="楷体" w:cs="楷体"/>
                <w:color w:val="FF0000"/>
                <w:lang w:val="en-US" w:eastAsia="zh-CN"/>
              </w:rPr>
              <w:t>合同履行</w:t>
            </w:r>
            <w:r>
              <w:rPr>
                <w:rFonts w:hint="eastAsia" w:ascii="楷体" w:hAnsi="楷体" w:eastAsia="楷体" w:cs="楷体"/>
                <w:color w:val="auto"/>
                <w:lang w:val="en-US" w:eastAsia="zh-CN"/>
              </w:rPr>
              <w:t>了，那就直接按一般规定，由被告住所地或者合同履行地人民法院管辖</w:t>
            </w:r>
          </w:p>
          <w:p w14:paraId="145B23D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lang w:val="en-US" w:eastAsia="zh-CN"/>
              </w:rPr>
            </w:pPr>
            <w:r>
              <w:rPr>
                <w:rFonts w:hint="eastAsia" w:ascii="楷体" w:hAnsi="楷体" w:eastAsia="楷体" w:cs="楷体"/>
                <w:color w:val="auto"/>
                <w:lang w:val="en-US" w:eastAsia="zh-CN"/>
              </w:rPr>
              <w:t>2.如果</w:t>
            </w:r>
            <w:r>
              <w:rPr>
                <w:rFonts w:hint="eastAsia" w:ascii="楷体" w:hAnsi="楷体" w:eastAsia="楷体" w:cs="楷体"/>
                <w:color w:val="FF0000"/>
                <w:lang w:val="en-US" w:eastAsia="zh-CN"/>
              </w:rPr>
              <w:t>合同没有实际履行</w:t>
            </w:r>
            <w:r>
              <w:rPr>
                <w:rFonts w:hint="eastAsia" w:ascii="楷体" w:hAnsi="楷体" w:eastAsia="楷体" w:cs="楷体"/>
                <w:color w:val="auto"/>
                <w:lang w:val="en-US" w:eastAsia="zh-CN"/>
              </w:rPr>
              <w:t>，当事人双方住所地又都不在合同约定的履行地的，应当由被告住所地人民法院管辖。（此时约定的履行地没有管辖权）</w:t>
            </w:r>
          </w:p>
          <w:p w14:paraId="0AF6FD9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color w:val="auto"/>
                <w:lang w:val="en-US" w:eastAsia="zh-CN"/>
              </w:rPr>
              <w:t>3.如果</w:t>
            </w:r>
            <w:r>
              <w:rPr>
                <w:rFonts w:hint="eastAsia" w:ascii="楷体" w:hAnsi="楷体" w:eastAsia="楷体" w:cs="楷体"/>
                <w:color w:val="FF0000"/>
                <w:lang w:val="en-US" w:eastAsia="zh-CN"/>
              </w:rPr>
              <w:t>约定履行地与实际履行地不一致</w:t>
            </w:r>
            <w:r>
              <w:rPr>
                <w:rFonts w:hint="eastAsia" w:ascii="楷体" w:hAnsi="楷体" w:eastAsia="楷体" w:cs="楷体"/>
                <w:color w:val="auto"/>
                <w:lang w:val="en-US" w:eastAsia="zh-CN"/>
              </w:rPr>
              <w:t>，应当以约定履行地作为合同的履行地</w:t>
            </w:r>
          </w:p>
        </w:tc>
      </w:tr>
      <w:tr w14:paraId="6F4511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184E934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海难救助费用</w:t>
            </w:r>
          </w:p>
        </w:tc>
        <w:tc>
          <w:tcPr>
            <w:tcW w:w="4040" w:type="pct"/>
            <w:tcBorders>
              <w:tl2br w:val="nil"/>
              <w:tr2bl w:val="nil"/>
            </w:tcBorders>
          </w:tcPr>
          <w:p w14:paraId="6D9A87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救助地</w:t>
            </w:r>
            <w:r>
              <w:rPr>
                <w:rFonts w:hint="eastAsia" w:ascii="楷体" w:hAnsi="楷体" w:eastAsia="楷体" w:cs="楷体"/>
                <w:lang w:val="en-US" w:eastAsia="zh-CN"/>
              </w:rPr>
              <w:t>或者</w:t>
            </w:r>
            <w:r>
              <w:rPr>
                <w:rFonts w:hint="eastAsia" w:ascii="楷体" w:hAnsi="楷体" w:eastAsia="楷体" w:cs="楷体"/>
                <w:color w:val="FF0000"/>
                <w:lang w:val="en-US" w:eastAsia="zh-CN"/>
              </w:rPr>
              <w:t>被救助船舶最先到达地</w:t>
            </w:r>
            <w:r>
              <w:rPr>
                <w:rFonts w:hint="eastAsia" w:ascii="楷体" w:hAnsi="楷体" w:eastAsia="楷体" w:cs="楷体"/>
                <w:lang w:val="en-US" w:eastAsia="zh-CN"/>
              </w:rPr>
              <w:t>人民法院</w:t>
            </w:r>
          </w:p>
        </w:tc>
      </w:tr>
      <w:tr w14:paraId="39AB1B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3597DFD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共同海损</w:t>
            </w:r>
          </w:p>
        </w:tc>
        <w:tc>
          <w:tcPr>
            <w:tcW w:w="4040" w:type="pct"/>
            <w:tcBorders>
              <w:tl2br w:val="nil"/>
              <w:tr2bl w:val="nil"/>
            </w:tcBorders>
          </w:tcPr>
          <w:p w14:paraId="3E647A2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船舶最先到达地</w:t>
            </w:r>
            <w:r>
              <w:rPr>
                <w:rFonts w:hint="eastAsia" w:ascii="楷体" w:hAnsi="楷体" w:eastAsia="楷体" w:cs="楷体"/>
                <w:lang w:val="en-US" w:eastAsia="zh-CN"/>
              </w:rPr>
              <w:t>、</w:t>
            </w:r>
            <w:r>
              <w:rPr>
                <w:rFonts w:hint="eastAsia" w:ascii="楷体" w:hAnsi="楷体" w:eastAsia="楷体" w:cs="楷体"/>
                <w:color w:val="FF0000"/>
                <w:lang w:val="en-US" w:eastAsia="zh-CN"/>
              </w:rPr>
              <w:t>共同海损理算地</w:t>
            </w:r>
            <w:r>
              <w:rPr>
                <w:rFonts w:hint="eastAsia" w:ascii="楷体" w:hAnsi="楷体" w:eastAsia="楷体" w:cs="楷体"/>
                <w:lang w:val="en-US" w:eastAsia="zh-CN"/>
              </w:rPr>
              <w:t>或者</w:t>
            </w:r>
            <w:r>
              <w:rPr>
                <w:rFonts w:hint="eastAsia" w:ascii="楷体" w:hAnsi="楷体" w:eastAsia="楷体" w:cs="楷体"/>
                <w:color w:val="FF0000"/>
                <w:lang w:val="en-US" w:eastAsia="zh-CN"/>
              </w:rPr>
              <w:t>航程终止地</w:t>
            </w:r>
            <w:r>
              <w:rPr>
                <w:rFonts w:hint="eastAsia" w:ascii="楷体" w:hAnsi="楷体" w:eastAsia="楷体" w:cs="楷体"/>
                <w:lang w:val="en-US" w:eastAsia="zh-CN"/>
              </w:rPr>
              <w:t>人民法院</w:t>
            </w:r>
          </w:p>
        </w:tc>
      </w:tr>
      <w:tr w14:paraId="2369B7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47A9E74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公司诉讼</w:t>
            </w:r>
          </w:p>
        </w:tc>
        <w:tc>
          <w:tcPr>
            <w:tcW w:w="4040" w:type="pct"/>
            <w:tcBorders>
              <w:tl2br w:val="nil"/>
              <w:tr2bl w:val="nil"/>
            </w:tcBorders>
          </w:tcPr>
          <w:p w14:paraId="615B744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因公司设立、确定股东资格、分配利润、解散等纠纷提起的诉讼，由</w:t>
            </w:r>
            <w:r>
              <w:rPr>
                <w:rFonts w:hint="eastAsia" w:ascii="楷体" w:hAnsi="楷体" w:eastAsia="楷体" w:cs="楷体"/>
                <w:color w:val="FF0000"/>
                <w:vertAlign w:val="baseline"/>
                <w:lang w:val="en-US" w:eastAsia="zh-CN"/>
              </w:rPr>
              <w:t>公司住所地</w:t>
            </w:r>
            <w:r>
              <w:rPr>
                <w:rFonts w:hint="eastAsia" w:ascii="楷体" w:hAnsi="楷体" w:eastAsia="楷体" w:cs="楷体"/>
                <w:vertAlign w:val="baseline"/>
                <w:lang w:val="en-US" w:eastAsia="zh-CN"/>
              </w:rPr>
              <w:t>法院管辖</w:t>
            </w:r>
          </w:p>
        </w:tc>
      </w:tr>
      <w:tr w14:paraId="1A7567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0155DD5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保险合同</w:t>
            </w:r>
          </w:p>
        </w:tc>
        <w:tc>
          <w:tcPr>
            <w:tcW w:w="4040" w:type="pct"/>
            <w:tcBorders>
              <w:tl2br w:val="nil"/>
              <w:tr2bl w:val="nil"/>
            </w:tcBorders>
          </w:tcPr>
          <w:p w14:paraId="3FDD351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由</w:t>
            </w:r>
            <w:r>
              <w:rPr>
                <w:rFonts w:hint="eastAsia" w:ascii="楷体" w:hAnsi="楷体" w:eastAsia="楷体" w:cs="楷体"/>
                <w:color w:val="FF0000"/>
                <w:vertAlign w:val="baseline"/>
                <w:lang w:val="en-US" w:eastAsia="zh-CN"/>
              </w:rPr>
              <w:t>被告住所地</w:t>
            </w:r>
            <w:r>
              <w:rPr>
                <w:rFonts w:hint="eastAsia" w:ascii="楷体" w:hAnsi="楷体" w:eastAsia="楷体" w:cs="楷体"/>
                <w:vertAlign w:val="baseline"/>
                <w:lang w:val="en-US" w:eastAsia="zh-CN"/>
              </w:rPr>
              <w:t>、</w:t>
            </w:r>
            <w:r>
              <w:rPr>
                <w:rFonts w:hint="eastAsia" w:ascii="楷体" w:hAnsi="楷体" w:eastAsia="楷体" w:cs="楷体"/>
                <w:color w:val="FF0000"/>
                <w:vertAlign w:val="baseline"/>
                <w:lang w:val="en-US" w:eastAsia="zh-CN"/>
              </w:rPr>
              <w:t>保险标的物所在地</w:t>
            </w:r>
            <w:r>
              <w:rPr>
                <w:rFonts w:hint="eastAsia" w:ascii="楷体" w:hAnsi="楷体" w:eastAsia="楷体" w:cs="楷体"/>
                <w:vertAlign w:val="baseline"/>
                <w:lang w:val="en-US" w:eastAsia="zh-CN"/>
              </w:rPr>
              <w:t>法院管辖</w:t>
            </w:r>
          </w:p>
        </w:tc>
      </w:tr>
      <w:tr w14:paraId="0CE680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57ADF8D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担保合同</w:t>
            </w:r>
          </w:p>
        </w:tc>
        <w:tc>
          <w:tcPr>
            <w:tcW w:w="4040" w:type="pct"/>
            <w:tcBorders>
              <w:tl2br w:val="nil"/>
              <w:tr2bl w:val="nil"/>
            </w:tcBorders>
          </w:tcPr>
          <w:p w14:paraId="016CEC4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1.根据主合同确定管辖</w:t>
            </w:r>
          </w:p>
          <w:p w14:paraId="07DB5A1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2.承担连带责任的担保合同，债权人向担保人主张的，应当向担保人住所地管辖</w:t>
            </w:r>
          </w:p>
          <w:p w14:paraId="4C91DEF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3.如果担保合同的选择管辖与主合同不一致的，根据主合同确定</w:t>
            </w:r>
          </w:p>
        </w:tc>
      </w:tr>
    </w:tbl>
    <w:p w14:paraId="39CA65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p>
    <w:p w14:paraId="7D9D70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考点8：协议管辖</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89"/>
        <w:gridCol w:w="6533"/>
      </w:tblGrid>
      <w:tr w14:paraId="15FF48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67" w:type="pct"/>
            <w:tcBorders>
              <w:tl2br w:val="nil"/>
              <w:tr2bl w:val="nil"/>
            </w:tcBorders>
            <w:vAlign w:val="center"/>
          </w:tcPr>
          <w:p w14:paraId="44B525F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适用的案件范围</w:t>
            </w:r>
          </w:p>
        </w:tc>
        <w:tc>
          <w:tcPr>
            <w:tcW w:w="3832" w:type="pct"/>
            <w:tcBorders>
              <w:tl2br w:val="nil"/>
              <w:tr2bl w:val="nil"/>
            </w:tcBorders>
          </w:tcPr>
          <w:p w14:paraId="2E4AD22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合同或者其他财产权益纠纷（财产侵权、不当得利、无因管理等，涉及当事人身份关系的民事纠纷不得协议管辖）</w:t>
            </w:r>
          </w:p>
        </w:tc>
      </w:tr>
      <w:tr w14:paraId="2082CF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67" w:type="pct"/>
            <w:tcBorders>
              <w:tl2br w:val="nil"/>
              <w:tr2bl w:val="nil"/>
            </w:tcBorders>
            <w:vAlign w:val="center"/>
          </w:tcPr>
          <w:p w14:paraId="0CF528E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协议形式</w:t>
            </w:r>
          </w:p>
        </w:tc>
        <w:tc>
          <w:tcPr>
            <w:tcW w:w="3832" w:type="pct"/>
            <w:tcBorders>
              <w:tl2br w:val="nil"/>
              <w:tr2bl w:val="nil"/>
            </w:tcBorders>
          </w:tcPr>
          <w:p w14:paraId="2912368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书面</w:t>
            </w:r>
          </w:p>
        </w:tc>
      </w:tr>
      <w:tr w14:paraId="01921C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67" w:type="pct"/>
            <w:tcBorders>
              <w:tl2br w:val="nil"/>
              <w:tr2bl w:val="nil"/>
            </w:tcBorders>
            <w:vAlign w:val="center"/>
          </w:tcPr>
          <w:p w14:paraId="3A8F79B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3832" w:type="pct"/>
            <w:tcBorders>
              <w:tl2br w:val="nil"/>
              <w:tr2bl w:val="nil"/>
            </w:tcBorders>
          </w:tcPr>
          <w:p w14:paraId="20182CE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与争议有实际联系的地点的人民法院；</w:t>
            </w:r>
            <w:r>
              <w:rPr>
                <w:rFonts w:hint="eastAsia" w:ascii="楷体" w:hAnsi="楷体" w:eastAsia="楷体" w:cs="楷体"/>
                <w:lang w:val="en-US" w:eastAsia="zh-CN"/>
              </w:rPr>
              <w:t>可以约定两个以上法院；只适用于一审的地域管辖</w:t>
            </w:r>
          </w:p>
        </w:tc>
      </w:tr>
      <w:tr w14:paraId="33D11D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67" w:type="pct"/>
            <w:tcBorders>
              <w:tl2br w:val="nil"/>
              <w:tr2bl w:val="nil"/>
            </w:tcBorders>
            <w:vAlign w:val="center"/>
          </w:tcPr>
          <w:p w14:paraId="06638D3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限制</w:t>
            </w:r>
          </w:p>
        </w:tc>
        <w:tc>
          <w:tcPr>
            <w:tcW w:w="3832" w:type="pct"/>
            <w:tcBorders>
              <w:tl2br w:val="nil"/>
              <w:tr2bl w:val="nil"/>
            </w:tcBorders>
          </w:tcPr>
          <w:p w14:paraId="02C80DF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不得违反级别与专属管辖的规定</w:t>
            </w:r>
          </w:p>
        </w:tc>
      </w:tr>
    </w:tbl>
    <w:p w14:paraId="0BBDA0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考点9：专属管辖</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52"/>
        <w:gridCol w:w="6570"/>
      </w:tblGrid>
      <w:tr w14:paraId="0FC2D9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45" w:type="pct"/>
            <w:vMerge w:val="restart"/>
            <w:tcBorders>
              <w:tl2br w:val="nil"/>
              <w:tr2bl w:val="nil"/>
            </w:tcBorders>
            <w:vAlign w:val="center"/>
          </w:tcPr>
          <w:p w14:paraId="66D7861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专属管辖的案件</w:t>
            </w:r>
          </w:p>
        </w:tc>
        <w:tc>
          <w:tcPr>
            <w:tcW w:w="3854" w:type="pct"/>
            <w:tcBorders>
              <w:tl2br w:val="nil"/>
              <w:tr2bl w:val="nil"/>
            </w:tcBorders>
          </w:tcPr>
          <w:p w14:paraId="4B2D5A4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lang w:val="en-US" w:eastAsia="zh-CN"/>
              </w:rPr>
              <w:t>因</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不动产纠纷</w:t>
            </w:r>
            <w:r>
              <w:rPr>
                <w:rFonts w:hint="eastAsia" w:ascii="楷体" w:hAnsi="楷体" w:eastAsia="楷体" w:cs="楷体"/>
                <w:lang w:val="en-US" w:eastAsia="zh-CN"/>
              </w:rPr>
              <w:t>提起的诉讼，由</w:t>
            </w:r>
            <w:r>
              <w:rPr>
                <w:rFonts w:hint="eastAsia" w:ascii="楷体" w:hAnsi="楷体" w:eastAsia="楷体" w:cs="楷体"/>
                <w:color w:val="FF0000"/>
                <w:lang w:val="en-US" w:eastAsia="zh-CN"/>
              </w:rPr>
              <w:t>不动产所在地</w:t>
            </w:r>
            <w:r>
              <w:rPr>
                <w:rFonts w:hint="eastAsia" w:ascii="楷体" w:hAnsi="楷体" w:eastAsia="楷体" w:cs="楷体"/>
                <w:lang w:val="en-US" w:eastAsia="zh-CN"/>
              </w:rPr>
              <w:t>人民法院管辖。以下案件认定为“不动产纠纷”：</w:t>
            </w:r>
            <w:r>
              <w:rPr>
                <w:rFonts w:hint="eastAsia" w:ascii="楷体" w:hAnsi="楷体" w:eastAsia="楷体" w:cs="楷体"/>
                <w:color w:val="000000" w:themeColor="text1"/>
                <w:lang w:val="en-US" w:eastAsia="zh-CN"/>
                <w14:textFill>
                  <w14:solidFill>
                    <w14:schemeClr w14:val="tx1"/>
                  </w14:solidFill>
                </w14:textFill>
              </w:rPr>
              <w:t>不动产物权纠纷属于专属管辖：不动产的权利确认、分割、相邻关系等；农村土地承包经营合同纠纷；</w:t>
            </w:r>
            <w:r>
              <w:rPr>
                <w:rFonts w:hint="eastAsia" w:ascii="楷体" w:hAnsi="楷体" w:eastAsia="楷体" w:cs="楷体"/>
                <w:color w:val="FF0000"/>
                <w:lang w:val="en-US" w:eastAsia="zh-CN"/>
              </w:rPr>
              <w:t>政策性房屋买卖合同纠纷；房屋租赁合同纠纷</w:t>
            </w:r>
            <w:r>
              <w:rPr>
                <w:rFonts w:hint="eastAsia" w:ascii="楷体" w:hAnsi="楷体" w:eastAsia="楷体" w:cs="楷体"/>
                <w:color w:val="000000" w:themeColor="text1"/>
                <w:lang w:val="en-US" w:eastAsia="zh-CN"/>
                <w14:textFill>
                  <w14:solidFill>
                    <w14:schemeClr w14:val="tx1"/>
                  </w14:solidFill>
                </w14:textFill>
              </w:rPr>
              <w:t>；建设工程施工合同纠纷。不动产纠纷与继承纠纷竞合时，按继承案件专属管辖的规定确定管辖法院</w:t>
            </w:r>
          </w:p>
        </w:tc>
      </w:tr>
      <w:tr w14:paraId="3CFD5A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45" w:type="pct"/>
            <w:vMerge w:val="continue"/>
            <w:tcBorders>
              <w:tl2br w:val="nil"/>
              <w:tr2bl w:val="nil"/>
            </w:tcBorders>
            <w:vAlign w:val="center"/>
          </w:tcPr>
          <w:p w14:paraId="459190A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3854" w:type="pct"/>
            <w:tcBorders>
              <w:tl2br w:val="nil"/>
              <w:tr2bl w:val="nil"/>
            </w:tcBorders>
          </w:tcPr>
          <w:p w14:paraId="361EC5C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lang w:val="en-US" w:eastAsia="zh-CN"/>
              </w:rPr>
              <w:t>因</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港口作业中发生纠纷</w:t>
            </w:r>
            <w:r>
              <w:rPr>
                <w:rFonts w:hint="eastAsia" w:ascii="楷体" w:hAnsi="楷体" w:eastAsia="楷体" w:cs="楷体"/>
                <w:lang w:val="en-US" w:eastAsia="zh-CN"/>
              </w:rPr>
              <w:t>提起的诉讼，由</w:t>
            </w:r>
            <w:r>
              <w:rPr>
                <w:rFonts w:hint="eastAsia" w:ascii="楷体" w:hAnsi="楷体" w:eastAsia="楷体" w:cs="楷体"/>
                <w:color w:val="FF0000"/>
                <w:lang w:val="en-US" w:eastAsia="zh-CN"/>
              </w:rPr>
              <w:t>港口所在地</w:t>
            </w:r>
            <w:r>
              <w:rPr>
                <w:rFonts w:hint="eastAsia" w:ascii="楷体" w:hAnsi="楷体" w:eastAsia="楷体" w:cs="楷体"/>
                <w:color w:val="auto"/>
                <w:lang w:val="en-US" w:eastAsia="zh-CN"/>
              </w:rPr>
              <w:t>人民法院</w:t>
            </w:r>
            <w:r>
              <w:rPr>
                <w:rFonts w:hint="eastAsia" w:ascii="楷体" w:hAnsi="楷体" w:eastAsia="楷体" w:cs="楷体"/>
                <w:lang w:val="en-US" w:eastAsia="zh-CN"/>
              </w:rPr>
              <w:t>管辖</w:t>
            </w:r>
          </w:p>
        </w:tc>
      </w:tr>
      <w:tr w14:paraId="721D54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45" w:type="pct"/>
            <w:vMerge w:val="continue"/>
            <w:tcBorders>
              <w:tl2br w:val="nil"/>
              <w:tr2bl w:val="nil"/>
            </w:tcBorders>
            <w:vAlign w:val="center"/>
          </w:tcPr>
          <w:p w14:paraId="52C46EC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3854" w:type="pct"/>
            <w:tcBorders>
              <w:tl2br w:val="nil"/>
              <w:tr2bl w:val="nil"/>
            </w:tcBorders>
          </w:tcPr>
          <w:p w14:paraId="13B8C09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lang w:val="en-US" w:eastAsia="zh-CN"/>
              </w:rPr>
              <w:t>因</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继承遗产纠纷</w:t>
            </w:r>
            <w:r>
              <w:rPr>
                <w:rFonts w:hint="eastAsia" w:ascii="楷体" w:hAnsi="楷体" w:eastAsia="楷体" w:cs="楷体"/>
                <w:lang w:val="en-US" w:eastAsia="zh-CN"/>
              </w:rPr>
              <w:t>提起的诉讼，由</w:t>
            </w:r>
            <w:r>
              <w:rPr>
                <w:rFonts w:hint="eastAsia" w:ascii="楷体" w:hAnsi="楷体" w:eastAsia="楷体" w:cs="楷体"/>
                <w:color w:val="FF0000"/>
                <w:lang w:val="en-US" w:eastAsia="zh-CN"/>
              </w:rPr>
              <w:t>被继承人死亡时住所地</w:t>
            </w:r>
            <w:r>
              <w:rPr>
                <w:rFonts w:hint="eastAsia" w:ascii="楷体" w:hAnsi="楷体" w:eastAsia="楷体" w:cs="楷体"/>
                <w:lang w:val="en-US" w:eastAsia="zh-CN"/>
              </w:rPr>
              <w:t>或者</w:t>
            </w:r>
            <w:r>
              <w:rPr>
                <w:rFonts w:hint="eastAsia" w:ascii="楷体" w:hAnsi="楷体" w:eastAsia="楷体" w:cs="楷体"/>
                <w:color w:val="FF0000"/>
                <w:lang w:val="en-US" w:eastAsia="zh-CN"/>
              </w:rPr>
              <w:t>主要遗产所在地</w:t>
            </w:r>
            <w:r>
              <w:rPr>
                <w:rFonts w:hint="eastAsia" w:ascii="楷体" w:hAnsi="楷体" w:eastAsia="楷体" w:cs="楷体"/>
                <w:lang w:val="en-US" w:eastAsia="zh-CN"/>
              </w:rPr>
              <w:t>人民法院管辖</w:t>
            </w:r>
          </w:p>
        </w:tc>
      </w:tr>
      <w:tr w14:paraId="21B129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45" w:type="pct"/>
            <w:tcBorders>
              <w:tl2br w:val="nil"/>
              <w:tr2bl w:val="nil"/>
            </w:tcBorders>
            <w:vAlign w:val="center"/>
          </w:tcPr>
          <w:p w14:paraId="261F121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涉外专属管辖</w:t>
            </w:r>
          </w:p>
        </w:tc>
        <w:tc>
          <w:tcPr>
            <w:tcW w:w="3854" w:type="pct"/>
            <w:tcBorders>
              <w:tl2br w:val="nil"/>
              <w:tr2bl w:val="nil"/>
            </w:tcBorders>
          </w:tcPr>
          <w:p w14:paraId="6841AD3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在中国境内履行的中外合资经营企业合同、中外合作经营企业合同、中外合作勘探开发自然资源合同――专属于</w:t>
            </w:r>
            <w:r>
              <w:rPr>
                <w:rFonts w:hint="eastAsia" w:ascii="楷体" w:hAnsi="楷体" w:eastAsia="楷体" w:cs="楷体"/>
                <w:color w:val="FF0000"/>
                <w:lang w:val="en-US" w:eastAsia="zh-CN"/>
              </w:rPr>
              <w:t>中国法院</w:t>
            </w:r>
            <w:r>
              <w:rPr>
                <w:rFonts w:hint="eastAsia" w:ascii="楷体" w:hAnsi="楷体" w:eastAsia="楷体" w:cs="楷体"/>
                <w:lang w:val="en-US" w:eastAsia="zh-CN"/>
              </w:rPr>
              <w:t>管辖</w:t>
            </w:r>
          </w:p>
        </w:tc>
      </w:tr>
    </w:tbl>
    <w:p w14:paraId="3C0811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考点10：管辖权异议</w:t>
      </w:r>
    </w:p>
    <w:tbl>
      <w:tblPr>
        <w:tblStyle w:val="12"/>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15"/>
        <w:gridCol w:w="7304"/>
      </w:tblGrid>
      <w:tr w14:paraId="6A2551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1875" w:hRule="atLeast"/>
        </w:trPr>
        <w:tc>
          <w:tcPr>
            <w:tcW w:w="713" w:type="pct"/>
            <w:tcBorders>
              <w:tl2br w:val="nil"/>
              <w:tr2bl w:val="nil"/>
            </w:tcBorders>
            <w:vAlign w:val="center"/>
          </w:tcPr>
          <w:p w14:paraId="0978FE1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条件</w:t>
            </w:r>
          </w:p>
        </w:tc>
        <w:tc>
          <w:tcPr>
            <w:tcW w:w="4286" w:type="pct"/>
            <w:tcBorders>
              <w:tl2br w:val="nil"/>
              <w:tr2bl w:val="nil"/>
            </w:tcBorders>
          </w:tcPr>
          <w:p w14:paraId="2071923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lang w:val="en-US" w:eastAsia="zh-CN"/>
              </w:rPr>
              <w:t>由案件的当事人提出，</w:t>
            </w:r>
            <w:r>
              <w:rPr>
                <w:rFonts w:hint="eastAsia" w:ascii="楷体" w:hAnsi="楷体" w:eastAsia="楷体" w:cs="楷体"/>
                <w:color w:val="FF0000"/>
                <w:lang w:val="en-US" w:eastAsia="zh-CN"/>
              </w:rPr>
              <w:t>第三人（包括有独三和无独三）不能提出异议</w:t>
            </w:r>
          </w:p>
          <w:p w14:paraId="0A8ACD1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lang w:val="en-US" w:eastAsia="zh-CN"/>
              </w:rPr>
              <w:t>在</w:t>
            </w:r>
            <w:r>
              <w:rPr>
                <w:rFonts w:hint="eastAsia" w:ascii="楷体" w:hAnsi="楷体" w:eastAsia="楷体" w:cs="楷体"/>
                <w:color w:val="FF0000"/>
                <w:lang w:val="en-US" w:eastAsia="zh-CN"/>
              </w:rPr>
              <w:t>提交答辩状期间</w:t>
            </w:r>
            <w:r>
              <w:rPr>
                <w:rFonts w:hint="eastAsia" w:ascii="楷体" w:hAnsi="楷体" w:eastAsia="楷体" w:cs="楷体"/>
                <w:lang w:val="en-US" w:eastAsia="zh-CN"/>
              </w:rPr>
              <w:t>提出。在答辩期满后，原告增加诉讼请求的金额，被告提出级别管辖异议的，不受答辩期的限制</w:t>
            </w:r>
          </w:p>
          <w:p w14:paraId="27928AC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lang w:val="en-US" w:eastAsia="zh-CN"/>
              </w:rPr>
              <w:t>管辖权异议可以针对</w:t>
            </w:r>
            <w:r>
              <w:rPr>
                <w:rFonts w:hint="eastAsia" w:ascii="楷体" w:hAnsi="楷体" w:eastAsia="楷体" w:cs="楷体"/>
                <w:color w:val="FF0000"/>
                <w:lang w:val="en-US" w:eastAsia="zh-CN"/>
              </w:rPr>
              <w:t>地域管辖</w:t>
            </w:r>
            <w:r>
              <w:rPr>
                <w:rFonts w:hint="eastAsia" w:ascii="楷体" w:hAnsi="楷体" w:eastAsia="楷体" w:cs="楷体"/>
                <w:lang w:val="en-US" w:eastAsia="zh-CN"/>
              </w:rPr>
              <w:t>，也可以针对</w:t>
            </w:r>
            <w:r>
              <w:rPr>
                <w:rFonts w:hint="eastAsia" w:ascii="楷体" w:hAnsi="楷体" w:eastAsia="楷体" w:cs="楷体"/>
                <w:color w:val="FF0000"/>
                <w:lang w:val="en-US" w:eastAsia="zh-CN"/>
              </w:rPr>
              <w:t>级别管辖</w:t>
            </w:r>
            <w:r>
              <w:rPr>
                <w:rFonts w:hint="eastAsia" w:ascii="楷体" w:hAnsi="楷体" w:eastAsia="楷体" w:cs="楷体"/>
                <w:lang w:val="en-US" w:eastAsia="zh-CN"/>
              </w:rPr>
              <w:t>；人民法院发回重审或者按第一审程序再审的案件，当事人提出管辖异议的，人民法院不予审查</w:t>
            </w:r>
          </w:p>
        </w:tc>
      </w:tr>
      <w:tr w14:paraId="1B900C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3" w:type="pct"/>
            <w:tcBorders>
              <w:tl2br w:val="nil"/>
              <w:tr2bl w:val="nil"/>
            </w:tcBorders>
            <w:vAlign w:val="center"/>
          </w:tcPr>
          <w:p w14:paraId="572C407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文书</w:t>
            </w:r>
          </w:p>
        </w:tc>
        <w:tc>
          <w:tcPr>
            <w:tcW w:w="4286" w:type="pct"/>
            <w:tcBorders>
              <w:tl2br w:val="nil"/>
              <w:tr2bl w:val="nil"/>
            </w:tcBorders>
          </w:tcPr>
          <w:p w14:paraId="555A455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对管辖权异议，法院应以</w:t>
            </w:r>
            <w:r>
              <w:rPr>
                <w:rFonts w:hint="eastAsia" w:ascii="楷体" w:hAnsi="楷体" w:eastAsia="楷体" w:cs="楷体"/>
                <w:color w:val="FF0000"/>
                <w:lang w:val="en-US" w:eastAsia="zh-CN"/>
              </w:rPr>
              <w:t>裁定</w:t>
            </w:r>
            <w:r>
              <w:rPr>
                <w:rFonts w:hint="eastAsia" w:ascii="楷体" w:hAnsi="楷体" w:eastAsia="楷体" w:cs="楷体"/>
                <w:lang w:val="en-US" w:eastAsia="zh-CN"/>
              </w:rPr>
              <w:t>形式作出；对该裁定不服的，可以在10日内上诉</w:t>
            </w:r>
          </w:p>
        </w:tc>
      </w:tr>
      <w:tr w14:paraId="4EC2EE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630" w:hRule="atLeast"/>
        </w:trPr>
        <w:tc>
          <w:tcPr>
            <w:tcW w:w="713" w:type="pct"/>
            <w:tcBorders>
              <w:tl2br w:val="nil"/>
              <w:tr2bl w:val="nil"/>
            </w:tcBorders>
            <w:vAlign w:val="center"/>
          </w:tcPr>
          <w:p w14:paraId="735CA9B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逾期后果</w:t>
            </w:r>
          </w:p>
          <w:p w14:paraId="42F38D2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（应诉管辖）</w:t>
            </w:r>
          </w:p>
        </w:tc>
        <w:tc>
          <w:tcPr>
            <w:tcW w:w="4286" w:type="pct"/>
            <w:tcBorders>
              <w:tl2br w:val="nil"/>
              <w:tr2bl w:val="nil"/>
            </w:tcBorders>
          </w:tcPr>
          <w:p w14:paraId="53B3D0E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lang w:val="en-US" w:eastAsia="zh-CN"/>
              </w:rPr>
              <w:t>消极的：未提出管辖异议+积极的：并应诉答辩或者反诉的</w:t>
            </w:r>
            <w:r>
              <w:rPr>
                <w:rFonts w:hint="eastAsia" w:ascii="楷体" w:hAnsi="楷体" w:eastAsia="楷体" w:cs="楷体"/>
                <w:lang w:val="en-US" w:eastAsia="zh-CN"/>
              </w:rPr>
              <w:t>，视为受诉人民法院有管辖权。违反级别管辖和专属管辖的除外</w:t>
            </w:r>
          </w:p>
          <w:p w14:paraId="7D45816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lang w:val="en-US" w:eastAsia="zh-CN"/>
              </w:rPr>
              <w:t>被告</w:t>
            </w:r>
            <w:r>
              <w:rPr>
                <w:rFonts w:hint="eastAsia" w:ascii="楷体" w:hAnsi="楷体" w:eastAsia="楷体" w:cs="楷体"/>
                <w:lang w:val="en-US" w:eastAsia="zh-CN"/>
              </w:rPr>
              <w:t>提出管辖权异议，不构成应诉管辖</w:t>
            </w:r>
          </w:p>
          <w:p w14:paraId="2713C48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lang w:val="en-US" w:eastAsia="zh-CN"/>
              </w:rPr>
              <w:t>对于被告既提出管辖权异议又</w:t>
            </w:r>
            <w:r>
              <w:rPr>
                <w:rFonts w:hint="eastAsia" w:ascii="楷体" w:hAnsi="楷体" w:eastAsia="楷体" w:cs="楷体"/>
                <w:color w:val="FF0000"/>
                <w:lang w:val="en-US" w:eastAsia="zh-CN"/>
              </w:rPr>
              <w:t>应诉进行实体答辩</w:t>
            </w:r>
            <w:r>
              <w:rPr>
                <w:rFonts w:hint="eastAsia" w:ascii="楷体" w:hAnsi="楷体" w:eastAsia="楷体" w:cs="楷体"/>
                <w:lang w:val="en-US" w:eastAsia="zh-CN"/>
              </w:rPr>
              <w:t>的，不能视为被告接受受诉法院管辖</w:t>
            </w:r>
          </w:p>
          <w:p w14:paraId="6D67127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lang w:val="en-US" w:eastAsia="zh-CN"/>
              </w:rPr>
              <w:t>当事人在答辩期间届满后未应诉答辩，人民法院在一审开庭前，发现案件不属于本院管辖的，不构成应诉管辖，应当</w:t>
            </w:r>
            <w:r>
              <w:rPr>
                <w:rFonts w:hint="eastAsia" w:ascii="楷体" w:hAnsi="楷体" w:eastAsia="楷体" w:cs="楷体"/>
                <w:color w:val="FF0000"/>
                <w:lang w:val="en-US" w:eastAsia="zh-CN"/>
              </w:rPr>
              <w:t>裁定移送</w:t>
            </w:r>
            <w:r>
              <w:rPr>
                <w:rFonts w:hint="eastAsia" w:ascii="楷体" w:hAnsi="楷体" w:eastAsia="楷体" w:cs="楷体"/>
                <w:lang w:val="en-US" w:eastAsia="zh-CN"/>
              </w:rPr>
              <w:t>有管辖权的人民法院</w:t>
            </w:r>
          </w:p>
        </w:tc>
      </w:tr>
    </w:tbl>
    <w:p w14:paraId="0098C80C">
      <w:pPr>
        <w:pStyle w:val="3"/>
        <w:bidi w:val="0"/>
        <w:rPr>
          <w:rFonts w:hint="eastAsia" w:ascii="楷体" w:hAnsi="楷体" w:eastAsia="楷体" w:cs="楷体"/>
          <w:lang w:val="en-US" w:eastAsia="zh-CN"/>
        </w:rPr>
      </w:pPr>
      <w:bookmarkStart w:id="12" w:name="_Toc121"/>
      <w:bookmarkStart w:id="13" w:name="_Toc7788"/>
      <w:bookmarkStart w:id="14" w:name="_Toc726"/>
      <w:r>
        <w:rPr>
          <w:rFonts w:hint="eastAsia" w:ascii="楷体" w:hAnsi="楷体" w:eastAsia="楷体" w:cs="楷体"/>
          <w:lang w:val="en-US" w:eastAsia="zh-CN"/>
        </w:rPr>
        <w:t>专题五 诉</w:t>
      </w:r>
      <w:bookmarkEnd w:id="12"/>
      <w:bookmarkEnd w:id="13"/>
      <w:bookmarkEnd w:id="14"/>
    </w:p>
    <w:p w14:paraId="410EE8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考点11：反诉</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46"/>
        <w:gridCol w:w="6976"/>
      </w:tblGrid>
      <w:tr w14:paraId="76DEFC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tcBorders>
              <w:tl2br w:val="nil"/>
              <w:tr2bl w:val="nil"/>
            </w:tcBorders>
            <w:vAlign w:val="center"/>
          </w:tcPr>
          <w:p w14:paraId="00AB809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性质</w:t>
            </w:r>
          </w:p>
        </w:tc>
        <w:tc>
          <w:tcPr>
            <w:tcW w:w="4092" w:type="pct"/>
            <w:tcBorders>
              <w:tl2br w:val="nil"/>
              <w:tr2bl w:val="nil"/>
            </w:tcBorders>
          </w:tcPr>
          <w:p w14:paraId="6E84359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与本诉对应的</w:t>
            </w:r>
            <w:r>
              <w:rPr>
                <w:rFonts w:hint="eastAsia" w:ascii="楷体" w:hAnsi="楷体" w:eastAsia="楷体" w:cs="楷体"/>
                <w:color w:val="FF0000"/>
                <w:lang w:val="en-US" w:eastAsia="zh-CN"/>
              </w:rPr>
              <w:t>独立</w:t>
            </w:r>
            <w:r>
              <w:rPr>
                <w:rFonts w:hint="eastAsia" w:ascii="楷体" w:hAnsi="楷体" w:eastAsia="楷体" w:cs="楷体"/>
                <w:lang w:val="en-US" w:eastAsia="zh-CN"/>
              </w:rPr>
              <w:t>的诉</w:t>
            </w:r>
          </w:p>
        </w:tc>
      </w:tr>
      <w:tr w14:paraId="5D967D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90" w:hRule="atLeast"/>
        </w:trPr>
        <w:tc>
          <w:tcPr>
            <w:tcW w:w="907" w:type="pct"/>
            <w:tcBorders>
              <w:tl2br w:val="nil"/>
              <w:tr2bl w:val="nil"/>
            </w:tcBorders>
            <w:vAlign w:val="center"/>
          </w:tcPr>
          <w:p w14:paraId="5D4E5D1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构成要件</w:t>
            </w:r>
          </w:p>
        </w:tc>
        <w:tc>
          <w:tcPr>
            <w:tcW w:w="4092" w:type="pct"/>
            <w:tcBorders>
              <w:tl2br w:val="nil"/>
              <w:tr2bl w:val="nil"/>
            </w:tcBorders>
          </w:tcPr>
          <w:p w14:paraId="60908EB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lang w:val="en-US" w:eastAsia="zh-CN"/>
              </w:rPr>
              <w:t>本诉的被告对本诉的原告</w:t>
            </w:r>
          </w:p>
          <w:p w14:paraId="1372633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lang w:val="en-US" w:eastAsia="zh-CN"/>
              </w:rPr>
              <w:t>本诉与反诉有牵连关系</w:t>
            </w:r>
            <w:r>
              <w:rPr>
                <w:rFonts w:hint="eastAsia" w:ascii="楷体" w:hAnsi="楷体" w:eastAsia="楷体" w:cs="楷体"/>
                <w:lang w:val="en-US" w:eastAsia="zh-CN"/>
              </w:rPr>
              <w:t>：本诉和反诉的诉讼请求基于同一法律关系（原告要求给付合同货款，被告要求确认合同无效）、同一事实（互殴，原告要求被告赔偿2万元，被告要求原告赔偿3万元）或具有因果关系（原告诉被告给付租金，被告要求原告赔偿房屋漏水造成的损失）等</w:t>
            </w:r>
          </w:p>
          <w:p w14:paraId="1BDF319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lang w:val="en-US" w:eastAsia="zh-CN"/>
              </w:rPr>
              <w:t>在本诉进行中提出：</w:t>
            </w:r>
            <w:r>
              <w:rPr>
                <w:rFonts w:hint="eastAsia" w:ascii="楷体" w:hAnsi="楷体" w:eastAsia="楷体" w:cs="楷体"/>
                <w:color w:val="FF0000"/>
                <w:lang w:val="en-US" w:eastAsia="zh-CN"/>
              </w:rPr>
              <w:t>本诉法庭辩论终结前提出，合并审理</w:t>
            </w:r>
          </w:p>
          <w:p w14:paraId="07C154A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lang w:val="en-US" w:eastAsia="zh-CN"/>
              </w:rPr>
              <w:t>向受理本诉的法院提出</w:t>
            </w:r>
          </w:p>
          <w:p w14:paraId="52EB0E1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w:t>
            </w:r>
            <w:r>
              <w:rPr>
                <w:rFonts w:hint="eastAsia" w:ascii="楷体" w:hAnsi="楷体" w:eastAsia="楷体" w:cs="楷体"/>
                <w:lang w:val="en-US" w:eastAsia="zh-CN"/>
              </w:rPr>
              <w:t>与本诉适用同一诉讼程序</w:t>
            </w:r>
          </w:p>
        </w:tc>
      </w:tr>
      <w:tr w14:paraId="35D2A7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0" w:hRule="atLeast"/>
        </w:trPr>
        <w:tc>
          <w:tcPr>
            <w:tcW w:w="907" w:type="pct"/>
            <w:tcBorders>
              <w:tl2br w:val="nil"/>
              <w:tr2bl w:val="nil"/>
            </w:tcBorders>
            <w:vAlign w:val="center"/>
          </w:tcPr>
          <w:p w14:paraId="7CD4C2B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反诉的处理</w:t>
            </w:r>
          </w:p>
        </w:tc>
        <w:tc>
          <w:tcPr>
            <w:tcW w:w="4092" w:type="pct"/>
            <w:tcBorders>
              <w:tl2br w:val="nil"/>
              <w:tr2bl w:val="nil"/>
            </w:tcBorders>
          </w:tcPr>
          <w:p w14:paraId="4992B31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一审</w:t>
            </w:r>
            <w:r>
              <w:rPr>
                <w:rFonts w:hint="eastAsia" w:ascii="楷体" w:hAnsi="楷体" w:eastAsia="楷体" w:cs="楷体"/>
                <w:lang w:val="en-US" w:eastAsia="zh-CN"/>
              </w:rPr>
              <w:t>：</w:t>
            </w:r>
            <w:r>
              <w:rPr>
                <w:rFonts w:hint="eastAsia" w:ascii="楷体" w:hAnsi="楷体" w:eastAsia="楷体" w:cs="楷体"/>
                <w:color w:val="FF0000"/>
                <w:lang w:val="en-US" w:eastAsia="zh-CN"/>
              </w:rPr>
              <w:t>法庭辩论终结前提出，方可合并审理</w:t>
            </w:r>
          </w:p>
          <w:p w14:paraId="41E4036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二审</w:t>
            </w:r>
            <w:r>
              <w:rPr>
                <w:rFonts w:hint="eastAsia" w:ascii="楷体" w:hAnsi="楷体" w:eastAsia="楷体" w:cs="楷体"/>
                <w:lang w:val="en-US" w:eastAsia="zh-CN"/>
              </w:rPr>
              <w:t>：</w:t>
            </w:r>
            <w:r>
              <w:rPr>
                <w:rFonts w:hint="eastAsia" w:ascii="楷体" w:hAnsi="楷体" w:eastAsia="楷体" w:cs="楷体"/>
                <w:color w:val="FF0000"/>
                <w:lang w:val="en-US" w:eastAsia="zh-CN"/>
              </w:rPr>
              <w:t>调解不成，告知当事人另行起诉</w:t>
            </w:r>
            <w:r>
              <w:rPr>
                <w:rFonts w:hint="eastAsia" w:ascii="楷体" w:hAnsi="楷体" w:eastAsia="楷体" w:cs="楷体"/>
                <w:lang w:val="en-US" w:eastAsia="zh-CN"/>
              </w:rPr>
              <w:t>。当事人一致同意由二审法院一并审理的，可以由二审法院一并审理</w:t>
            </w:r>
          </w:p>
        </w:tc>
      </w:tr>
    </w:tbl>
    <w:p w14:paraId="4BF4832E">
      <w:pPr>
        <w:pStyle w:val="3"/>
        <w:bidi w:val="0"/>
        <w:rPr>
          <w:rFonts w:hint="eastAsia" w:ascii="楷体" w:hAnsi="楷体" w:eastAsia="楷体" w:cs="楷体"/>
          <w:lang w:val="en-US" w:eastAsia="zh-CN"/>
        </w:rPr>
      </w:pPr>
      <w:bookmarkStart w:id="15" w:name="_Toc2724"/>
      <w:bookmarkStart w:id="16" w:name="_Toc13798"/>
      <w:bookmarkStart w:id="17" w:name="_Toc13069"/>
      <w:r>
        <w:rPr>
          <w:rFonts w:hint="eastAsia" w:ascii="楷体" w:hAnsi="楷体" w:eastAsia="楷体" w:cs="楷体"/>
          <w:lang w:val="en-US" w:eastAsia="zh-CN"/>
        </w:rPr>
        <w:t>专题六 当事人与诉讼代理人</w:t>
      </w:r>
      <w:bookmarkEnd w:id="15"/>
      <w:bookmarkEnd w:id="16"/>
      <w:bookmarkEnd w:id="17"/>
    </w:p>
    <w:p w14:paraId="458891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考点12：共同诉讼</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56"/>
        <w:gridCol w:w="791"/>
        <w:gridCol w:w="5975"/>
      </w:tblGrid>
      <w:tr w14:paraId="1B62AC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030" w:type="pct"/>
            <w:vMerge w:val="restart"/>
            <w:tcBorders>
              <w:tl2br w:val="nil"/>
              <w:tr2bl w:val="nil"/>
            </w:tcBorders>
            <w:vAlign w:val="center"/>
          </w:tcPr>
          <w:p w14:paraId="2B59603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普通共同诉讼</w:t>
            </w:r>
          </w:p>
        </w:tc>
        <w:tc>
          <w:tcPr>
            <w:tcW w:w="464" w:type="pct"/>
            <w:tcBorders>
              <w:tl2br w:val="nil"/>
              <w:tr2bl w:val="nil"/>
            </w:tcBorders>
            <w:vAlign w:val="center"/>
          </w:tcPr>
          <w:p w14:paraId="39A8DE7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概念</w:t>
            </w:r>
          </w:p>
        </w:tc>
        <w:tc>
          <w:tcPr>
            <w:tcW w:w="3505" w:type="pct"/>
            <w:tcBorders>
              <w:tl2br w:val="nil"/>
              <w:tr2bl w:val="nil"/>
            </w:tcBorders>
          </w:tcPr>
          <w:p w14:paraId="55DD6DF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当事人一方或者双方为两人以上，诉讼标的同种类，法院认为可以合并审理，当事人也同意合并审理</w:t>
            </w:r>
          </w:p>
        </w:tc>
      </w:tr>
      <w:tr w14:paraId="67B92F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1865" w:hRule="atLeast"/>
        </w:trPr>
        <w:tc>
          <w:tcPr>
            <w:tcW w:w="1030" w:type="pct"/>
            <w:vMerge w:val="continue"/>
            <w:tcBorders>
              <w:tl2br w:val="nil"/>
              <w:tr2bl w:val="nil"/>
            </w:tcBorders>
            <w:vAlign w:val="center"/>
          </w:tcPr>
          <w:p w14:paraId="11ABCD5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64" w:type="pct"/>
            <w:tcBorders>
              <w:tl2br w:val="nil"/>
              <w:tr2bl w:val="nil"/>
            </w:tcBorders>
            <w:vAlign w:val="center"/>
          </w:tcPr>
          <w:p w14:paraId="05FA43A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特征</w:t>
            </w:r>
          </w:p>
        </w:tc>
        <w:tc>
          <w:tcPr>
            <w:tcW w:w="3505" w:type="pct"/>
            <w:tcBorders>
              <w:tl2br w:val="nil"/>
              <w:tr2bl w:val="nil"/>
            </w:tcBorders>
          </w:tcPr>
          <w:p w14:paraId="5F68917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1.诉讼标的</w:t>
            </w:r>
            <w:r>
              <w:rPr>
                <w:rFonts w:hint="eastAsia" w:ascii="楷体" w:hAnsi="楷体" w:eastAsia="楷体" w:cs="楷体"/>
                <w:color w:val="FF0000"/>
                <w:vertAlign w:val="baseline"/>
                <w:lang w:val="en-US" w:eastAsia="zh-CN"/>
              </w:rPr>
              <w:t>同种类</w:t>
            </w:r>
          </w:p>
          <w:p w14:paraId="137F93B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2.本质上来说是</w:t>
            </w:r>
            <w:r>
              <w:rPr>
                <w:rFonts w:hint="eastAsia" w:ascii="楷体" w:hAnsi="楷体" w:eastAsia="楷体" w:cs="楷体"/>
                <w:color w:val="FF0000"/>
                <w:vertAlign w:val="baseline"/>
                <w:lang w:val="en-US" w:eastAsia="zh-CN"/>
              </w:rPr>
              <w:t>数个可分之诉</w:t>
            </w:r>
            <w:r>
              <w:rPr>
                <w:rFonts w:hint="eastAsia" w:ascii="楷体" w:hAnsi="楷体" w:eastAsia="楷体" w:cs="楷体"/>
                <w:vertAlign w:val="baseline"/>
                <w:lang w:val="en-US" w:eastAsia="zh-CN"/>
              </w:rPr>
              <w:t>，只是为了实现诉讼经济而合并审理</w:t>
            </w:r>
          </w:p>
          <w:p w14:paraId="306C55C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3.需要法院认为</w:t>
            </w:r>
            <w:r>
              <w:rPr>
                <w:rFonts w:hint="eastAsia" w:ascii="楷体" w:hAnsi="楷体" w:eastAsia="楷体" w:cs="楷体"/>
                <w:color w:val="FF0000"/>
                <w:vertAlign w:val="baseline"/>
                <w:lang w:val="en-US" w:eastAsia="zh-CN"/>
              </w:rPr>
              <w:t>可以</w:t>
            </w:r>
            <w:r>
              <w:rPr>
                <w:rFonts w:hint="eastAsia" w:ascii="楷体" w:hAnsi="楷体" w:eastAsia="楷体" w:cs="楷体"/>
                <w:vertAlign w:val="baseline"/>
                <w:lang w:val="en-US" w:eastAsia="zh-CN"/>
              </w:rPr>
              <w:t>合并审理，当事人也同意</w:t>
            </w:r>
          </w:p>
          <w:p w14:paraId="7313A82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4.各共同诉讼人之间</w:t>
            </w:r>
            <w:r>
              <w:rPr>
                <w:rFonts w:hint="eastAsia" w:ascii="楷体" w:hAnsi="楷体" w:eastAsia="楷体" w:cs="楷体"/>
                <w:color w:val="FF0000"/>
                <w:vertAlign w:val="baseline"/>
                <w:lang w:val="en-US" w:eastAsia="zh-CN"/>
              </w:rPr>
              <w:t>行为独立</w:t>
            </w:r>
            <w:r>
              <w:rPr>
                <w:rFonts w:hint="eastAsia" w:ascii="楷体" w:hAnsi="楷体" w:eastAsia="楷体" w:cs="楷体"/>
                <w:vertAlign w:val="baseline"/>
                <w:lang w:val="en-US" w:eastAsia="zh-CN"/>
              </w:rPr>
              <w:t>，对其他共同诉讼人没有效力</w:t>
            </w:r>
          </w:p>
        </w:tc>
      </w:tr>
      <w:tr w14:paraId="79FFDA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030" w:type="pct"/>
            <w:vMerge w:val="restart"/>
            <w:tcBorders>
              <w:tl2br w:val="nil"/>
              <w:tr2bl w:val="nil"/>
            </w:tcBorders>
            <w:vAlign w:val="center"/>
          </w:tcPr>
          <w:p w14:paraId="2FA40CF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必要共同诉讼</w:t>
            </w:r>
          </w:p>
        </w:tc>
        <w:tc>
          <w:tcPr>
            <w:tcW w:w="464" w:type="pct"/>
            <w:tcBorders>
              <w:tl2br w:val="nil"/>
              <w:tr2bl w:val="nil"/>
            </w:tcBorders>
            <w:vAlign w:val="center"/>
          </w:tcPr>
          <w:p w14:paraId="7B0FE47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概念</w:t>
            </w:r>
          </w:p>
        </w:tc>
        <w:tc>
          <w:tcPr>
            <w:tcW w:w="3505" w:type="pct"/>
            <w:tcBorders>
              <w:tl2br w:val="nil"/>
              <w:tr2bl w:val="nil"/>
            </w:tcBorders>
          </w:tcPr>
          <w:p w14:paraId="244B666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指当事人一方或者双方为两人以上，诉讼标的同一，法院必须合并审理并且在裁判中对诉讼标的合一确定</w:t>
            </w:r>
          </w:p>
        </w:tc>
      </w:tr>
      <w:tr w14:paraId="04DFD9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90" w:hRule="atLeast"/>
        </w:trPr>
        <w:tc>
          <w:tcPr>
            <w:tcW w:w="1030" w:type="pct"/>
            <w:vMerge w:val="continue"/>
            <w:tcBorders>
              <w:tl2br w:val="nil"/>
              <w:tr2bl w:val="nil"/>
            </w:tcBorders>
            <w:vAlign w:val="center"/>
          </w:tcPr>
          <w:p w14:paraId="0B44F93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464" w:type="pct"/>
            <w:tcBorders>
              <w:tl2br w:val="nil"/>
              <w:tr2bl w:val="nil"/>
            </w:tcBorders>
            <w:vAlign w:val="center"/>
          </w:tcPr>
          <w:p w14:paraId="258D149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特征</w:t>
            </w:r>
          </w:p>
        </w:tc>
        <w:tc>
          <w:tcPr>
            <w:tcW w:w="3505" w:type="pct"/>
            <w:tcBorders>
              <w:tl2br w:val="nil"/>
              <w:tr2bl w:val="nil"/>
            </w:tcBorders>
          </w:tcPr>
          <w:p w14:paraId="1EF5BAC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1.一方或者双方为</w:t>
            </w:r>
            <w:r>
              <w:rPr>
                <w:rFonts w:hint="eastAsia" w:ascii="楷体" w:hAnsi="楷体" w:eastAsia="楷体" w:cs="楷体"/>
                <w:color w:val="FF0000"/>
                <w:vertAlign w:val="baseline"/>
                <w:lang w:val="en-US" w:eastAsia="zh-CN"/>
              </w:rPr>
              <w:t>两人以上</w:t>
            </w:r>
          </w:p>
          <w:p w14:paraId="7B65D3A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2.诉讼标的同一（</w:t>
            </w:r>
            <w:r>
              <w:rPr>
                <w:rFonts w:hint="eastAsia" w:ascii="楷体" w:hAnsi="楷体" w:eastAsia="楷体" w:cs="楷体"/>
                <w:color w:val="FF0000"/>
                <w:vertAlign w:val="baseline"/>
                <w:lang w:val="en-US" w:eastAsia="zh-CN"/>
              </w:rPr>
              <w:t>即仅有一个诉讼标的，本质上是一个诉</w:t>
            </w:r>
            <w:r>
              <w:rPr>
                <w:rFonts w:hint="eastAsia" w:ascii="楷体" w:hAnsi="楷体" w:eastAsia="楷体" w:cs="楷体"/>
                <w:vertAlign w:val="baseline"/>
                <w:lang w:val="en-US" w:eastAsia="zh-CN"/>
              </w:rPr>
              <w:t>）</w:t>
            </w:r>
          </w:p>
          <w:p w14:paraId="0C571DD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3.法院</w:t>
            </w:r>
            <w:r>
              <w:rPr>
                <w:rFonts w:hint="eastAsia" w:ascii="楷体" w:hAnsi="楷体" w:eastAsia="楷体" w:cs="楷体"/>
                <w:color w:val="FF0000"/>
                <w:vertAlign w:val="baseline"/>
                <w:lang w:val="en-US" w:eastAsia="zh-CN"/>
              </w:rPr>
              <w:t>必须</w:t>
            </w:r>
            <w:r>
              <w:rPr>
                <w:rFonts w:hint="eastAsia" w:ascii="楷体" w:hAnsi="楷体" w:eastAsia="楷体" w:cs="楷体"/>
                <w:vertAlign w:val="baseline"/>
                <w:lang w:val="en-US" w:eastAsia="zh-CN"/>
              </w:rPr>
              <w:t>合并审理，合一判决</w:t>
            </w:r>
          </w:p>
          <w:p w14:paraId="0F749C2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4.一人行为经其他共同诉讼人承认，对其他共同诉讼人</w:t>
            </w:r>
            <w:r>
              <w:rPr>
                <w:rFonts w:hint="eastAsia" w:ascii="楷体" w:hAnsi="楷体" w:eastAsia="楷体" w:cs="楷体"/>
                <w:color w:val="FF0000"/>
                <w:vertAlign w:val="baseline"/>
                <w:lang w:val="en-US" w:eastAsia="zh-CN"/>
              </w:rPr>
              <w:t>生效</w:t>
            </w:r>
          </w:p>
        </w:tc>
      </w:tr>
    </w:tbl>
    <w:p w14:paraId="78ACC5D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00B0F0"/>
          <w:lang w:val="en-US" w:eastAsia="zh-CN"/>
        </w:rPr>
      </w:pPr>
    </w:p>
    <w:p w14:paraId="434B824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00B0F0"/>
          <w:lang w:val="en-US" w:eastAsia="zh-CN"/>
        </w:rPr>
      </w:pPr>
    </w:p>
    <w:p w14:paraId="08C9631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00B0F0"/>
          <w:lang w:val="en-US" w:eastAsia="zh-CN"/>
        </w:rPr>
      </w:pPr>
    </w:p>
    <w:p w14:paraId="13C3CF7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00B0F0"/>
          <w:lang w:val="en-US" w:eastAsia="zh-CN"/>
        </w:rPr>
      </w:pPr>
    </w:p>
    <w:p w14:paraId="558A50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考点13：第三人</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60"/>
        <w:gridCol w:w="1169"/>
        <w:gridCol w:w="5793"/>
      </w:tblGrid>
      <w:tr w14:paraId="1011C0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vMerge w:val="restart"/>
            <w:tcBorders>
              <w:tl2br w:val="nil"/>
              <w:tr2bl w:val="nil"/>
            </w:tcBorders>
            <w:vAlign w:val="center"/>
          </w:tcPr>
          <w:p w14:paraId="7A7411A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有独三</w:t>
            </w:r>
          </w:p>
        </w:tc>
        <w:tc>
          <w:tcPr>
            <w:tcW w:w="686" w:type="pct"/>
            <w:tcBorders>
              <w:tl2br w:val="nil"/>
              <w:tr2bl w:val="nil"/>
            </w:tcBorders>
            <w:vAlign w:val="center"/>
          </w:tcPr>
          <w:p w14:paraId="753A873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概念</w:t>
            </w:r>
          </w:p>
        </w:tc>
        <w:tc>
          <w:tcPr>
            <w:tcW w:w="3397" w:type="pct"/>
            <w:tcBorders>
              <w:tl2br w:val="nil"/>
              <w:tr2bl w:val="nil"/>
            </w:tcBorders>
          </w:tcPr>
          <w:p w14:paraId="3594383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对他人之间争议的诉讼标的主张独立的实体权利，为维护自己的合法权益而参加到他人已经开始的诉讼中的第三方当事人</w:t>
            </w:r>
          </w:p>
        </w:tc>
      </w:tr>
      <w:tr w14:paraId="7E389C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vMerge w:val="continue"/>
            <w:tcBorders>
              <w:tl2br w:val="nil"/>
              <w:tr2bl w:val="nil"/>
            </w:tcBorders>
            <w:vAlign w:val="center"/>
          </w:tcPr>
          <w:p w14:paraId="282389D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86" w:type="pct"/>
            <w:tcBorders>
              <w:tl2br w:val="nil"/>
              <w:tr2bl w:val="nil"/>
            </w:tcBorders>
            <w:vAlign w:val="center"/>
          </w:tcPr>
          <w:p w14:paraId="10607B3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诉讼地位</w:t>
            </w:r>
          </w:p>
        </w:tc>
        <w:tc>
          <w:tcPr>
            <w:tcW w:w="3397" w:type="pct"/>
            <w:tcBorders>
              <w:tl2br w:val="nil"/>
              <w:tr2bl w:val="nil"/>
            </w:tcBorders>
          </w:tcPr>
          <w:p w14:paraId="71115B2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相当于原告</w:t>
            </w:r>
          </w:p>
        </w:tc>
      </w:tr>
      <w:tr w14:paraId="17152E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vMerge w:val="continue"/>
            <w:tcBorders>
              <w:tl2br w:val="nil"/>
              <w:tr2bl w:val="nil"/>
            </w:tcBorders>
            <w:vAlign w:val="center"/>
          </w:tcPr>
          <w:p w14:paraId="420D07F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86" w:type="pct"/>
            <w:tcBorders>
              <w:tl2br w:val="nil"/>
              <w:tr2bl w:val="nil"/>
            </w:tcBorders>
            <w:vAlign w:val="center"/>
          </w:tcPr>
          <w:p w14:paraId="293D67D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参诉方式</w:t>
            </w:r>
          </w:p>
        </w:tc>
        <w:tc>
          <w:tcPr>
            <w:tcW w:w="3397" w:type="pct"/>
            <w:tcBorders>
              <w:tl2br w:val="nil"/>
              <w:tr2bl w:val="nil"/>
            </w:tcBorders>
          </w:tcPr>
          <w:p w14:paraId="691D6C8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提起诉讼</w:t>
            </w:r>
            <w:r>
              <w:rPr>
                <w:rFonts w:hint="eastAsia" w:ascii="楷体" w:hAnsi="楷体" w:eastAsia="楷体" w:cs="楷体"/>
                <w:vertAlign w:val="baseline"/>
                <w:lang w:val="en-US" w:eastAsia="zh-CN"/>
              </w:rPr>
              <w:t>（法院不能依职权追加为有独三）</w:t>
            </w:r>
          </w:p>
        </w:tc>
      </w:tr>
      <w:tr w14:paraId="5878E7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915" w:type="pct"/>
            <w:vMerge w:val="continue"/>
            <w:tcBorders>
              <w:tl2br w:val="nil"/>
              <w:tr2bl w:val="nil"/>
            </w:tcBorders>
            <w:vAlign w:val="center"/>
          </w:tcPr>
          <w:p w14:paraId="2645C95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86" w:type="pct"/>
            <w:tcBorders>
              <w:tl2br w:val="nil"/>
              <w:tr2bl w:val="nil"/>
            </w:tcBorders>
            <w:vAlign w:val="center"/>
          </w:tcPr>
          <w:p w14:paraId="603538C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参加时间</w:t>
            </w:r>
          </w:p>
        </w:tc>
        <w:tc>
          <w:tcPr>
            <w:tcW w:w="3397" w:type="pct"/>
            <w:tcBorders>
              <w:tl2br w:val="nil"/>
              <w:tr2bl w:val="nil"/>
            </w:tcBorders>
          </w:tcPr>
          <w:p w14:paraId="036D72F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案件受理后，辩论终结前</w:t>
            </w:r>
          </w:p>
        </w:tc>
      </w:tr>
      <w:tr w14:paraId="5C1B97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vMerge w:val="restart"/>
            <w:tcBorders>
              <w:tl2br w:val="nil"/>
              <w:tr2bl w:val="nil"/>
            </w:tcBorders>
            <w:vAlign w:val="center"/>
          </w:tcPr>
          <w:p w14:paraId="4DE6002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无独三</w:t>
            </w:r>
          </w:p>
        </w:tc>
        <w:tc>
          <w:tcPr>
            <w:tcW w:w="686" w:type="pct"/>
            <w:tcBorders>
              <w:tl2br w:val="nil"/>
              <w:tr2bl w:val="nil"/>
            </w:tcBorders>
            <w:vAlign w:val="center"/>
          </w:tcPr>
          <w:p w14:paraId="13B0AB1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概念</w:t>
            </w:r>
          </w:p>
        </w:tc>
        <w:tc>
          <w:tcPr>
            <w:tcW w:w="3397" w:type="pct"/>
            <w:tcBorders>
              <w:tl2br w:val="nil"/>
              <w:tr2bl w:val="nil"/>
            </w:tcBorders>
          </w:tcPr>
          <w:p w14:paraId="7DFB4C0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对原、被告争议的诉讼标的没有独立请求权，但与案件处理结果有法律上的利害关系而参加诉讼的人</w:t>
            </w:r>
          </w:p>
        </w:tc>
      </w:tr>
      <w:tr w14:paraId="20FD53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vMerge w:val="continue"/>
            <w:tcBorders>
              <w:tl2br w:val="nil"/>
              <w:tr2bl w:val="nil"/>
            </w:tcBorders>
            <w:vAlign w:val="center"/>
          </w:tcPr>
          <w:p w14:paraId="78A4611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86" w:type="pct"/>
            <w:tcBorders>
              <w:tl2br w:val="nil"/>
              <w:tr2bl w:val="nil"/>
            </w:tcBorders>
            <w:vAlign w:val="center"/>
          </w:tcPr>
          <w:p w14:paraId="180109B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参诉方式</w:t>
            </w:r>
          </w:p>
        </w:tc>
        <w:tc>
          <w:tcPr>
            <w:tcW w:w="3397" w:type="pct"/>
            <w:tcBorders>
              <w:tl2br w:val="nil"/>
              <w:tr2bl w:val="nil"/>
            </w:tcBorders>
          </w:tcPr>
          <w:p w14:paraId="7EEA70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申请参加</w:t>
            </w:r>
            <w:r>
              <w:rPr>
                <w:rFonts w:hint="eastAsia" w:ascii="楷体" w:hAnsi="楷体" w:eastAsia="楷体" w:cs="楷体"/>
                <w:vertAlign w:val="baseline"/>
                <w:lang w:val="en-US" w:eastAsia="zh-CN"/>
              </w:rPr>
              <w:t>或者</w:t>
            </w:r>
            <w:r>
              <w:rPr>
                <w:rFonts w:hint="eastAsia" w:ascii="楷体" w:hAnsi="楷体" w:eastAsia="楷体" w:cs="楷体"/>
                <w:color w:val="FF0000"/>
                <w:vertAlign w:val="baseline"/>
                <w:lang w:val="en-US" w:eastAsia="zh-CN"/>
              </w:rPr>
              <w:t>法院依职权追加</w:t>
            </w:r>
          </w:p>
        </w:tc>
      </w:tr>
      <w:tr w14:paraId="048798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tcBorders>
              <w:tl2br w:val="nil"/>
              <w:tr2bl w:val="nil"/>
            </w:tcBorders>
            <w:vAlign w:val="center"/>
          </w:tcPr>
          <w:p w14:paraId="125145A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可以列为第三人参加诉讼的法定情形</w:t>
            </w:r>
          </w:p>
        </w:tc>
        <w:tc>
          <w:tcPr>
            <w:tcW w:w="4084" w:type="pct"/>
            <w:gridSpan w:val="2"/>
            <w:tcBorders>
              <w:tl2br w:val="nil"/>
              <w:tr2bl w:val="nil"/>
            </w:tcBorders>
            <w:vAlign w:val="center"/>
          </w:tcPr>
          <w:p w14:paraId="6A9F2DC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1.代位权诉讼：债务人作第三人（无独三）</w:t>
            </w:r>
          </w:p>
          <w:p w14:paraId="5DDF863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2.撤销权诉讼：受益人或受让人作第三人（无独三）</w:t>
            </w:r>
          </w:p>
          <w:p w14:paraId="535F314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3.合同转让情形下的第三人：对方主张抗辩权时，转让方作第三人（无独三）</w:t>
            </w:r>
          </w:p>
          <w:p w14:paraId="2FF6745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4.人民法院审理重婚导致的无效婚姻案件时，涉及财产处理的，应当准许合法婚姻当事人作为有独立请求权的第三人参加诉讼</w:t>
            </w:r>
          </w:p>
        </w:tc>
      </w:tr>
      <w:tr w14:paraId="52E92A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5" w:type="pct"/>
            <w:tcBorders>
              <w:tl2br w:val="nil"/>
              <w:tr2bl w:val="nil"/>
            </w:tcBorders>
            <w:vAlign w:val="center"/>
          </w:tcPr>
          <w:p w14:paraId="2F1538E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第三人撤销之诉</w:t>
            </w:r>
          </w:p>
        </w:tc>
        <w:tc>
          <w:tcPr>
            <w:tcW w:w="4084" w:type="pct"/>
            <w:gridSpan w:val="2"/>
            <w:tcBorders>
              <w:tl2br w:val="nil"/>
              <w:tr2bl w:val="nil"/>
            </w:tcBorders>
            <w:vAlign w:val="center"/>
          </w:tcPr>
          <w:p w14:paraId="332957A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前两款规定的第三人（主体），因不能归责于本人的事由未参加诉讼，但有证据证明发生法律效力的判决、裁定、调解书的部分或者全部内容错误，损害其民事权益的（对象+条件），</w:t>
            </w:r>
            <w:r>
              <w:rPr>
                <w:rFonts w:hint="eastAsia" w:ascii="楷体" w:hAnsi="楷体" w:eastAsia="楷体" w:cs="楷体"/>
                <w:color w:val="FF0000"/>
                <w:lang w:val="en-US" w:eastAsia="zh-CN"/>
              </w:rPr>
              <w:t>可以自知道或者应当知道其民事权益受到损害之日起六个月内（期限），</w:t>
            </w:r>
            <w:r>
              <w:rPr>
                <w:rFonts w:hint="eastAsia" w:ascii="楷体" w:hAnsi="楷体" w:eastAsia="楷体" w:cs="楷体"/>
                <w:lang w:val="en-US" w:eastAsia="zh-CN"/>
              </w:rPr>
              <w:t>向作出该判决、裁定、调解书的人民法院提起诉讼（管辖法院）。人民法院经审理，诉讼请求成立的，应当改变或者撤销原判决、裁定、调解书；诉讼请求不成立的，驳回诉讼请求</w:t>
            </w:r>
          </w:p>
        </w:tc>
      </w:tr>
    </w:tbl>
    <w:p w14:paraId="6F1AE6B4">
      <w:pPr>
        <w:pStyle w:val="3"/>
        <w:bidi w:val="0"/>
        <w:rPr>
          <w:rFonts w:hint="eastAsia" w:ascii="楷体" w:hAnsi="楷体" w:eastAsia="楷体" w:cs="楷体"/>
          <w:lang w:val="en-US" w:eastAsia="zh-CN"/>
        </w:rPr>
      </w:pPr>
      <w:bookmarkStart w:id="18" w:name="_Toc18561"/>
      <w:bookmarkStart w:id="19" w:name="_Toc1724"/>
      <w:bookmarkStart w:id="20" w:name="_Toc28380"/>
      <w:r>
        <w:rPr>
          <w:rFonts w:hint="eastAsia" w:ascii="楷体" w:hAnsi="楷体" w:eastAsia="楷体" w:cs="楷体"/>
          <w:lang w:val="en-US" w:eastAsia="zh-CN"/>
        </w:rPr>
        <w:t>专题七 证据和证明</w:t>
      </w:r>
      <w:bookmarkEnd w:id="18"/>
      <w:bookmarkEnd w:id="19"/>
      <w:bookmarkEnd w:id="20"/>
    </w:p>
    <w:p w14:paraId="1D76B1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考点14：证人证言</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46"/>
        <w:gridCol w:w="1168"/>
        <w:gridCol w:w="5808"/>
      </w:tblGrid>
      <w:tr w14:paraId="19C22C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vMerge w:val="restart"/>
            <w:tcBorders>
              <w:tl2br w:val="nil"/>
              <w:tr2bl w:val="nil"/>
            </w:tcBorders>
            <w:vAlign w:val="center"/>
          </w:tcPr>
          <w:p w14:paraId="3139FB0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作证主体</w:t>
            </w:r>
          </w:p>
        </w:tc>
        <w:tc>
          <w:tcPr>
            <w:tcW w:w="685" w:type="pct"/>
            <w:tcBorders>
              <w:tl2br w:val="nil"/>
              <w:tr2bl w:val="nil"/>
            </w:tcBorders>
            <w:vAlign w:val="center"/>
          </w:tcPr>
          <w:p w14:paraId="16FBB83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单位作证</w:t>
            </w:r>
          </w:p>
        </w:tc>
        <w:tc>
          <w:tcPr>
            <w:tcW w:w="3407" w:type="pct"/>
            <w:tcBorders>
              <w:tl2br w:val="nil"/>
              <w:tr2bl w:val="nil"/>
            </w:tcBorders>
          </w:tcPr>
          <w:p w14:paraId="51C0F2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单位向人民法院提出的证明材料，应当由单位负责人及制作证明材料的人员签名或者盖章，并加盖单位印章（三章）</w:t>
            </w:r>
          </w:p>
        </w:tc>
      </w:tr>
      <w:tr w14:paraId="7901A3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vMerge w:val="continue"/>
            <w:tcBorders>
              <w:tl2br w:val="nil"/>
              <w:tr2bl w:val="nil"/>
            </w:tcBorders>
            <w:vAlign w:val="center"/>
          </w:tcPr>
          <w:p w14:paraId="623BFC2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85" w:type="pct"/>
            <w:tcBorders>
              <w:tl2br w:val="nil"/>
              <w:tr2bl w:val="nil"/>
            </w:tcBorders>
            <w:vAlign w:val="center"/>
          </w:tcPr>
          <w:p w14:paraId="7B50CF1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自然人</w:t>
            </w:r>
          </w:p>
          <w:p w14:paraId="7B9040C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作证</w:t>
            </w:r>
          </w:p>
        </w:tc>
        <w:tc>
          <w:tcPr>
            <w:tcW w:w="3407" w:type="pct"/>
            <w:tcBorders>
              <w:tl2br w:val="nil"/>
              <w:tr2bl w:val="nil"/>
            </w:tcBorders>
          </w:tcPr>
          <w:p w14:paraId="7CD8E90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不能正确表达意思的人，不能作为证人</w:t>
            </w:r>
            <w:r>
              <w:rPr>
                <w:rFonts w:hint="eastAsia" w:ascii="楷体" w:hAnsi="楷体" w:eastAsia="楷体" w:cs="楷体"/>
                <w:lang w:val="en-US" w:eastAsia="zh-CN"/>
              </w:rPr>
              <w:t>（未成年人、精神病人和近亲属都可以作证）</w:t>
            </w:r>
          </w:p>
        </w:tc>
      </w:tr>
      <w:tr w14:paraId="2333DE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vMerge w:val="restart"/>
            <w:tcBorders>
              <w:tl2br w:val="nil"/>
              <w:tr2bl w:val="nil"/>
            </w:tcBorders>
            <w:vAlign w:val="center"/>
          </w:tcPr>
          <w:p w14:paraId="12647BF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证人出庭</w:t>
            </w:r>
          </w:p>
        </w:tc>
        <w:tc>
          <w:tcPr>
            <w:tcW w:w="685" w:type="pct"/>
            <w:tcBorders>
              <w:tl2br w:val="nil"/>
              <w:tr2bl w:val="nil"/>
            </w:tcBorders>
            <w:vAlign w:val="center"/>
          </w:tcPr>
          <w:p w14:paraId="6C1BCC5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原则</w:t>
            </w:r>
          </w:p>
        </w:tc>
        <w:tc>
          <w:tcPr>
            <w:tcW w:w="3407" w:type="pct"/>
            <w:tcBorders>
              <w:tl2br w:val="nil"/>
              <w:tr2bl w:val="nil"/>
            </w:tcBorders>
          </w:tcPr>
          <w:p w14:paraId="06E913D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出庭作证</w:t>
            </w:r>
          </w:p>
        </w:tc>
      </w:tr>
      <w:tr w14:paraId="44BB44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vMerge w:val="continue"/>
            <w:tcBorders>
              <w:tl2br w:val="nil"/>
              <w:tr2bl w:val="nil"/>
            </w:tcBorders>
            <w:vAlign w:val="center"/>
          </w:tcPr>
          <w:p w14:paraId="512CD46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85" w:type="pct"/>
            <w:tcBorders>
              <w:tl2br w:val="nil"/>
              <w:tr2bl w:val="nil"/>
            </w:tcBorders>
            <w:vAlign w:val="center"/>
          </w:tcPr>
          <w:p w14:paraId="45EA743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例外</w:t>
            </w:r>
          </w:p>
        </w:tc>
        <w:tc>
          <w:tcPr>
            <w:tcW w:w="3407" w:type="pct"/>
            <w:tcBorders>
              <w:tl2br w:val="nil"/>
              <w:tr2bl w:val="nil"/>
            </w:tcBorders>
          </w:tcPr>
          <w:p w14:paraId="0975873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不出庭符合法定情形，以书面证言、视听传输技术或者视听资料等方式作证：</w:t>
            </w:r>
          </w:p>
          <w:p w14:paraId="2F69F07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1.因健康原因不能出庭的</w:t>
            </w:r>
          </w:p>
          <w:p w14:paraId="30D296B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2.因路途遥远，交通不便不能出庭的</w:t>
            </w:r>
          </w:p>
          <w:p w14:paraId="738CF7C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3.因自然灾害等不可抗力不能出庭的</w:t>
            </w:r>
          </w:p>
          <w:p w14:paraId="7B4A33B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4.其他有正当理由不能出庭的</w:t>
            </w:r>
          </w:p>
        </w:tc>
      </w:tr>
      <w:tr w14:paraId="784220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tcBorders>
              <w:tl2br w:val="nil"/>
              <w:tr2bl w:val="nil"/>
            </w:tcBorders>
            <w:vAlign w:val="center"/>
          </w:tcPr>
          <w:p w14:paraId="1B061EF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程序启动</w:t>
            </w:r>
          </w:p>
        </w:tc>
        <w:tc>
          <w:tcPr>
            <w:tcW w:w="4092" w:type="pct"/>
            <w:gridSpan w:val="2"/>
            <w:tcBorders>
              <w:tl2br w:val="nil"/>
              <w:tr2bl w:val="nil"/>
            </w:tcBorders>
          </w:tcPr>
          <w:p w14:paraId="58F1326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当事人申请或法院依职权</w:t>
            </w:r>
            <w:r>
              <w:rPr>
                <w:rFonts w:hint="eastAsia" w:ascii="楷体" w:hAnsi="楷体" w:eastAsia="楷体" w:cs="楷体"/>
                <w:lang w:val="en-US" w:eastAsia="zh-CN"/>
              </w:rPr>
              <w:t>通知。未经人民法院通知，证人不得出庭作证，但双方当事人同意并经人民法院准许的除外</w:t>
            </w:r>
          </w:p>
        </w:tc>
      </w:tr>
      <w:tr w14:paraId="31B8FB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tcBorders>
              <w:tl2br w:val="nil"/>
              <w:tr2bl w:val="nil"/>
            </w:tcBorders>
            <w:vAlign w:val="center"/>
          </w:tcPr>
          <w:p w14:paraId="1990B31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保证书</w:t>
            </w:r>
          </w:p>
        </w:tc>
        <w:tc>
          <w:tcPr>
            <w:tcW w:w="4092" w:type="pct"/>
            <w:gridSpan w:val="2"/>
            <w:tcBorders>
              <w:tl2br w:val="nil"/>
              <w:tr2bl w:val="nil"/>
            </w:tcBorders>
          </w:tcPr>
          <w:p w14:paraId="520D3A3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必须签署保证书</w:t>
            </w:r>
            <w:r>
              <w:rPr>
                <w:rFonts w:hint="eastAsia" w:ascii="楷体" w:hAnsi="楷体" w:eastAsia="楷体" w:cs="楷体"/>
                <w:lang w:val="en-US" w:eastAsia="zh-CN"/>
              </w:rPr>
              <w:t>，但无民事行为能力人、限制民事行为能力人除外。拒绝签署保证书的，</w:t>
            </w:r>
            <w:r>
              <w:rPr>
                <w:rFonts w:hint="eastAsia" w:ascii="楷体" w:hAnsi="楷体" w:eastAsia="楷体" w:cs="楷体"/>
                <w:color w:val="FF0000"/>
                <w:lang w:val="en-US" w:eastAsia="zh-CN"/>
              </w:rPr>
              <w:t>不得作证</w:t>
            </w:r>
            <w:r>
              <w:rPr>
                <w:rFonts w:hint="eastAsia" w:ascii="楷体" w:hAnsi="楷体" w:eastAsia="楷体" w:cs="楷体"/>
                <w:lang w:val="en-US" w:eastAsia="zh-CN"/>
              </w:rPr>
              <w:t>，并自行承担相关费用</w:t>
            </w:r>
          </w:p>
        </w:tc>
      </w:tr>
      <w:tr w14:paraId="523542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07" w:type="pct"/>
            <w:tcBorders>
              <w:tl2br w:val="nil"/>
              <w:tr2bl w:val="nil"/>
            </w:tcBorders>
            <w:vAlign w:val="center"/>
          </w:tcPr>
          <w:p w14:paraId="6EAE306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出庭费用补助</w:t>
            </w:r>
          </w:p>
        </w:tc>
        <w:tc>
          <w:tcPr>
            <w:tcW w:w="4092" w:type="pct"/>
            <w:gridSpan w:val="2"/>
            <w:tcBorders>
              <w:tl2br w:val="nil"/>
              <w:tr2bl w:val="nil"/>
            </w:tcBorders>
          </w:tcPr>
          <w:p w14:paraId="28DFD50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1.补偿范围</w:t>
            </w:r>
            <w:r>
              <w:rPr>
                <w:rFonts w:hint="eastAsia" w:ascii="楷体" w:hAnsi="楷体" w:eastAsia="楷体" w:cs="楷体"/>
                <w:color w:val="FF0000"/>
                <w:lang w:val="en-US" w:eastAsia="zh-CN"/>
              </w:rPr>
              <w:t>：交通、住宿、就餐等必要费用及误工损失</w:t>
            </w:r>
          </w:p>
          <w:p w14:paraId="4C4FEFF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2.负担原则：败诉一方当事人负担；程序启动者先行垫付：当事人申请的，申请人垫付；法院通知的，法院垫付</w:t>
            </w:r>
          </w:p>
        </w:tc>
      </w:tr>
    </w:tbl>
    <w:p w14:paraId="485B21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考点15：质证</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56"/>
        <w:gridCol w:w="854"/>
        <w:gridCol w:w="6212"/>
      </w:tblGrid>
      <w:tr w14:paraId="7E1AF8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54" w:type="pct"/>
            <w:tcBorders>
              <w:tl2br w:val="nil"/>
              <w:tr2bl w:val="nil"/>
            </w:tcBorders>
            <w:vAlign w:val="center"/>
          </w:tcPr>
          <w:p w14:paraId="2C3094A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质证主体</w:t>
            </w:r>
          </w:p>
        </w:tc>
        <w:tc>
          <w:tcPr>
            <w:tcW w:w="4145" w:type="pct"/>
            <w:gridSpan w:val="2"/>
            <w:tcBorders>
              <w:tl2br w:val="nil"/>
              <w:tr2bl w:val="nil"/>
            </w:tcBorders>
          </w:tcPr>
          <w:p w14:paraId="3B5C573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当事人</w:t>
            </w:r>
          </w:p>
        </w:tc>
      </w:tr>
      <w:tr w14:paraId="79DE56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4" w:type="pct"/>
            <w:tcBorders>
              <w:tl2br w:val="nil"/>
              <w:tr2bl w:val="nil"/>
            </w:tcBorders>
            <w:vAlign w:val="center"/>
          </w:tcPr>
          <w:p w14:paraId="614DCD0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质证对象</w:t>
            </w:r>
          </w:p>
        </w:tc>
        <w:tc>
          <w:tcPr>
            <w:tcW w:w="4145" w:type="pct"/>
            <w:gridSpan w:val="2"/>
            <w:tcBorders>
              <w:tl2br w:val="nil"/>
              <w:tr2bl w:val="nil"/>
            </w:tcBorders>
          </w:tcPr>
          <w:p w14:paraId="1BCD888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所有证据</w:t>
            </w:r>
          </w:p>
        </w:tc>
      </w:tr>
      <w:tr w14:paraId="156A41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4" w:type="pct"/>
            <w:vMerge w:val="restart"/>
            <w:tcBorders>
              <w:tl2br w:val="nil"/>
              <w:tr2bl w:val="nil"/>
            </w:tcBorders>
            <w:vAlign w:val="center"/>
          </w:tcPr>
          <w:p w14:paraId="0D4E61E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质证时间</w:t>
            </w:r>
          </w:p>
        </w:tc>
        <w:tc>
          <w:tcPr>
            <w:tcW w:w="501" w:type="pct"/>
            <w:tcBorders>
              <w:tl2br w:val="nil"/>
              <w:tr2bl w:val="nil"/>
            </w:tcBorders>
            <w:vAlign w:val="center"/>
          </w:tcPr>
          <w:p w14:paraId="0A5960E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原则</w:t>
            </w:r>
          </w:p>
        </w:tc>
        <w:tc>
          <w:tcPr>
            <w:tcW w:w="3644" w:type="pct"/>
            <w:tcBorders>
              <w:tl2br w:val="nil"/>
              <w:tr2bl w:val="nil"/>
            </w:tcBorders>
          </w:tcPr>
          <w:p w14:paraId="28BEC48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法庭上出示质证</w:t>
            </w:r>
          </w:p>
        </w:tc>
      </w:tr>
      <w:tr w14:paraId="68C0B9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4" w:type="pct"/>
            <w:vMerge w:val="continue"/>
            <w:tcBorders>
              <w:tl2br w:val="nil"/>
              <w:tr2bl w:val="nil"/>
            </w:tcBorders>
            <w:vAlign w:val="center"/>
          </w:tcPr>
          <w:p w14:paraId="5B15634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501" w:type="pct"/>
            <w:tcBorders>
              <w:tl2br w:val="nil"/>
              <w:tr2bl w:val="nil"/>
            </w:tcBorders>
            <w:vAlign w:val="center"/>
          </w:tcPr>
          <w:p w14:paraId="3D09742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例外</w:t>
            </w:r>
          </w:p>
        </w:tc>
        <w:tc>
          <w:tcPr>
            <w:tcW w:w="3644" w:type="pct"/>
            <w:tcBorders>
              <w:tl2br w:val="nil"/>
              <w:tr2bl w:val="nil"/>
            </w:tcBorders>
          </w:tcPr>
          <w:p w14:paraId="7171A4A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当事人在审理前的准备阶段认可的证据，在人民法院调查、询问过程中发表过质证意见的证据，经审判人员在庭审中说明后，视为质证过的证据</w:t>
            </w:r>
          </w:p>
        </w:tc>
      </w:tr>
      <w:tr w14:paraId="73980E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4" w:type="pct"/>
            <w:vMerge w:val="restart"/>
            <w:tcBorders>
              <w:tl2br w:val="nil"/>
              <w:tr2bl w:val="nil"/>
            </w:tcBorders>
            <w:vAlign w:val="center"/>
          </w:tcPr>
          <w:p w14:paraId="68150BC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质证程序</w:t>
            </w:r>
          </w:p>
        </w:tc>
        <w:tc>
          <w:tcPr>
            <w:tcW w:w="501" w:type="pct"/>
            <w:tcBorders>
              <w:tl2br w:val="nil"/>
              <w:tr2bl w:val="nil"/>
            </w:tcBorders>
            <w:vAlign w:val="center"/>
          </w:tcPr>
          <w:p w14:paraId="0ECB16A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原则</w:t>
            </w:r>
          </w:p>
        </w:tc>
        <w:tc>
          <w:tcPr>
            <w:tcW w:w="3644" w:type="pct"/>
            <w:tcBorders>
              <w:tl2br w:val="nil"/>
              <w:tr2bl w:val="nil"/>
            </w:tcBorders>
          </w:tcPr>
          <w:p w14:paraId="3CDBCC3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公开质证</w:t>
            </w:r>
          </w:p>
        </w:tc>
      </w:tr>
      <w:tr w14:paraId="673A1E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4" w:type="pct"/>
            <w:vMerge w:val="continue"/>
            <w:tcBorders>
              <w:tl2br w:val="nil"/>
              <w:tr2bl w:val="nil"/>
            </w:tcBorders>
          </w:tcPr>
          <w:p w14:paraId="239A175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p>
        </w:tc>
        <w:tc>
          <w:tcPr>
            <w:tcW w:w="501" w:type="pct"/>
            <w:tcBorders>
              <w:tl2br w:val="nil"/>
              <w:tr2bl w:val="nil"/>
            </w:tcBorders>
            <w:vAlign w:val="center"/>
          </w:tcPr>
          <w:p w14:paraId="7F7C3D8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w:t>
            </w:r>
          </w:p>
        </w:tc>
        <w:tc>
          <w:tcPr>
            <w:tcW w:w="3644" w:type="pct"/>
            <w:tcBorders>
              <w:tl2br w:val="nil"/>
              <w:tr2bl w:val="nil"/>
            </w:tcBorders>
          </w:tcPr>
          <w:p w14:paraId="29DA873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涉及国家秘密、商业秘密和个人隐私或者法律规定的其他应当保密的证据，不得在开庭时公开质证</w:t>
            </w:r>
          </w:p>
        </w:tc>
      </w:tr>
    </w:tbl>
    <w:p w14:paraId="7120ECC0">
      <w:pPr>
        <w:pStyle w:val="3"/>
        <w:bidi w:val="0"/>
        <w:rPr>
          <w:rFonts w:hint="eastAsia" w:ascii="楷体" w:hAnsi="楷体" w:eastAsia="楷体" w:cs="楷体"/>
          <w:lang w:val="en-US" w:eastAsia="zh-CN"/>
        </w:rPr>
      </w:pPr>
      <w:bookmarkStart w:id="21" w:name="_Toc1295"/>
      <w:bookmarkStart w:id="22" w:name="_Toc15007"/>
      <w:bookmarkStart w:id="23" w:name="_Toc1213"/>
      <w:r>
        <w:rPr>
          <w:rFonts w:hint="eastAsia" w:ascii="楷体" w:hAnsi="楷体" w:eastAsia="楷体" w:cs="楷体"/>
          <w:lang w:val="en-US" w:eastAsia="zh-CN"/>
        </w:rPr>
        <w:t>专题八 调解</w:t>
      </w:r>
      <w:bookmarkEnd w:id="21"/>
      <w:bookmarkEnd w:id="22"/>
      <w:bookmarkEnd w:id="23"/>
    </w:p>
    <w:p w14:paraId="1533B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考点16：调解原则</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14"/>
        <w:gridCol w:w="7308"/>
      </w:tblGrid>
      <w:tr w14:paraId="0429FE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2" w:type="pct"/>
            <w:tcBorders>
              <w:tl2br w:val="nil"/>
              <w:tr2bl w:val="nil"/>
            </w:tcBorders>
            <w:vAlign w:val="center"/>
          </w:tcPr>
          <w:p w14:paraId="298902E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适用阶段</w:t>
            </w:r>
          </w:p>
        </w:tc>
        <w:tc>
          <w:tcPr>
            <w:tcW w:w="4287" w:type="pct"/>
            <w:tcBorders>
              <w:tl2br w:val="nil"/>
              <w:tr2bl w:val="nil"/>
            </w:tcBorders>
          </w:tcPr>
          <w:p w14:paraId="46B3F1D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一审、二审、再审阶段均可以适用调解，</w:t>
            </w:r>
            <w:r>
              <w:rPr>
                <w:rFonts w:hint="eastAsia" w:ascii="楷体" w:hAnsi="楷体" w:eastAsia="楷体" w:cs="楷体"/>
                <w:color w:val="FF0000"/>
                <w:vertAlign w:val="baseline"/>
                <w:lang w:val="en-US" w:eastAsia="zh-CN"/>
              </w:rPr>
              <w:t>执行阶段不适用调解</w:t>
            </w:r>
          </w:p>
        </w:tc>
      </w:tr>
      <w:tr w14:paraId="036B6B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2" w:type="pct"/>
            <w:tcBorders>
              <w:tl2br w:val="nil"/>
              <w:tr2bl w:val="nil"/>
            </w:tcBorders>
            <w:vAlign w:val="center"/>
          </w:tcPr>
          <w:p w14:paraId="57641DF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适用范围</w:t>
            </w:r>
          </w:p>
        </w:tc>
        <w:tc>
          <w:tcPr>
            <w:tcW w:w="4287" w:type="pct"/>
            <w:tcBorders>
              <w:tl2br w:val="nil"/>
              <w:tr2bl w:val="nil"/>
            </w:tcBorders>
          </w:tcPr>
          <w:p w14:paraId="7AE6B90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1.适用特别程序、督促程序、公示催告程序的案件</w:t>
            </w:r>
            <w:r>
              <w:rPr>
                <w:rFonts w:hint="eastAsia" w:ascii="楷体" w:hAnsi="楷体" w:eastAsia="楷体" w:cs="楷体"/>
                <w:color w:val="FF0000"/>
                <w:vertAlign w:val="baseline"/>
                <w:lang w:val="en-US" w:eastAsia="zh-CN"/>
              </w:rPr>
              <w:t>不能调解</w:t>
            </w:r>
            <w:r>
              <w:rPr>
                <w:rFonts w:hint="eastAsia" w:ascii="楷体" w:hAnsi="楷体" w:eastAsia="楷体" w:cs="楷体"/>
                <w:color w:val="FF0000"/>
                <w:vertAlign w:val="baseline"/>
                <w:lang w:val="en-US" w:eastAsia="zh-CN"/>
              </w:rPr>
              <w:br w:type="textWrapping"/>
            </w:r>
            <w:r>
              <w:rPr>
                <w:rFonts w:hint="eastAsia" w:ascii="楷体" w:hAnsi="楷体" w:eastAsia="楷体" w:cs="楷体"/>
                <w:vertAlign w:val="baseline"/>
                <w:lang w:val="en-US" w:eastAsia="zh-CN"/>
              </w:rPr>
              <w:t>2.婚姻、身份关系确认案件以及其他依案件性质不能调解的民事案件</w:t>
            </w:r>
            <w:r>
              <w:rPr>
                <w:rFonts w:hint="eastAsia" w:ascii="楷体" w:hAnsi="楷体" w:eastAsia="楷体" w:cs="楷体"/>
                <w:color w:val="FF0000"/>
                <w:vertAlign w:val="baseline"/>
                <w:lang w:val="en-US" w:eastAsia="zh-CN"/>
              </w:rPr>
              <w:t>不能调解</w:t>
            </w:r>
          </w:p>
        </w:tc>
      </w:tr>
      <w:tr w14:paraId="5ADD78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2" w:type="pct"/>
            <w:tcBorders>
              <w:tl2br w:val="nil"/>
              <w:tr2bl w:val="nil"/>
            </w:tcBorders>
            <w:vAlign w:val="center"/>
          </w:tcPr>
          <w:p w14:paraId="3115927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不公开</w:t>
            </w:r>
          </w:p>
        </w:tc>
        <w:tc>
          <w:tcPr>
            <w:tcW w:w="4287" w:type="pct"/>
            <w:tcBorders>
              <w:tl2br w:val="nil"/>
              <w:tr2bl w:val="nil"/>
            </w:tcBorders>
          </w:tcPr>
          <w:p w14:paraId="71678B9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调解过程</w:t>
            </w:r>
            <w:r>
              <w:rPr>
                <w:rFonts w:hint="eastAsia" w:ascii="楷体" w:hAnsi="楷体" w:eastAsia="楷体" w:cs="楷体"/>
                <w:color w:val="FF0000"/>
                <w:vertAlign w:val="baseline"/>
                <w:lang w:val="en-US" w:eastAsia="zh-CN"/>
              </w:rPr>
              <w:t>原则上不公开</w:t>
            </w:r>
            <w:r>
              <w:rPr>
                <w:rFonts w:hint="eastAsia" w:ascii="楷体" w:hAnsi="楷体" w:eastAsia="楷体" w:cs="楷体"/>
                <w:vertAlign w:val="baseline"/>
                <w:lang w:val="en-US" w:eastAsia="zh-CN"/>
              </w:rPr>
              <w:t>，但当事人同意公开的除外；调解协议内容原则上不公开，但为保护国家利益、社会公共利益、他人合法权益以及人民法院认为有必要公开的除外</w:t>
            </w:r>
          </w:p>
        </w:tc>
      </w:tr>
      <w:tr w14:paraId="0DDA0A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2" w:type="pct"/>
            <w:vMerge w:val="restart"/>
            <w:tcBorders>
              <w:tl2br w:val="nil"/>
              <w:tr2bl w:val="nil"/>
            </w:tcBorders>
            <w:vAlign w:val="center"/>
          </w:tcPr>
          <w:p w14:paraId="166BC51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调解结案</w:t>
            </w:r>
          </w:p>
        </w:tc>
        <w:tc>
          <w:tcPr>
            <w:tcW w:w="4287" w:type="pct"/>
            <w:tcBorders>
              <w:tl2br w:val="nil"/>
              <w:tr2bl w:val="nil"/>
            </w:tcBorders>
          </w:tcPr>
          <w:p w14:paraId="144588E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1.原</w:t>
            </w:r>
            <w:r>
              <w:rPr>
                <w:rFonts w:hint="eastAsia" w:ascii="楷体" w:hAnsi="楷体" w:eastAsia="楷体" w:cs="楷体"/>
                <w:color w:val="FF0000"/>
                <w:vertAlign w:val="baseline"/>
                <w:lang w:val="en-US" w:eastAsia="zh-CN"/>
              </w:rPr>
              <w:t>则上应当制作调解书</w:t>
            </w:r>
            <w:r>
              <w:rPr>
                <w:rFonts w:hint="eastAsia" w:ascii="楷体" w:hAnsi="楷体" w:eastAsia="楷体" w:cs="楷体"/>
                <w:vertAlign w:val="baseline"/>
                <w:lang w:val="en-US" w:eastAsia="zh-CN"/>
              </w:rPr>
              <w:t>，经双方当事人签收后生效，调解未达成调解协议或者调解协议送达前一方当事人反悔的，法院应当及时判决</w:t>
            </w:r>
          </w:p>
        </w:tc>
      </w:tr>
      <w:tr w14:paraId="1611B9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2" w:type="pct"/>
            <w:vMerge w:val="continue"/>
            <w:tcBorders>
              <w:tl2br w:val="nil"/>
              <w:tr2bl w:val="nil"/>
            </w:tcBorders>
            <w:vAlign w:val="center"/>
          </w:tcPr>
          <w:p w14:paraId="5AF20BB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4287" w:type="pct"/>
            <w:tcBorders>
              <w:tl2br w:val="nil"/>
              <w:tr2bl w:val="nil"/>
            </w:tcBorders>
          </w:tcPr>
          <w:p w14:paraId="6FDA49B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2.以下情况可以</w:t>
            </w:r>
            <w:r>
              <w:rPr>
                <w:rFonts w:hint="eastAsia" w:ascii="楷体" w:hAnsi="楷体" w:eastAsia="楷体" w:cs="楷体"/>
                <w:color w:val="FF0000"/>
                <w:vertAlign w:val="baseline"/>
                <w:lang w:val="en-US" w:eastAsia="zh-CN"/>
              </w:rPr>
              <w:t>不制作调解书</w:t>
            </w:r>
            <w:r>
              <w:rPr>
                <w:rFonts w:hint="eastAsia" w:ascii="楷体" w:hAnsi="楷体" w:eastAsia="楷体" w:cs="楷体"/>
                <w:vertAlign w:val="baseline"/>
                <w:lang w:val="en-US" w:eastAsia="zh-CN"/>
              </w:rPr>
              <w:t>：</w:t>
            </w:r>
          </w:p>
          <w:p w14:paraId="0FED69B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（1）调解和好的离婚案件</w:t>
            </w:r>
          </w:p>
          <w:p w14:paraId="4E2195A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（2）调解维持收养关系的案件</w:t>
            </w:r>
          </w:p>
          <w:p w14:paraId="2392516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（3）能够即时履行的案件</w:t>
            </w:r>
          </w:p>
          <w:p w14:paraId="36EDD23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（4）其他不需要制作的情形</w:t>
            </w:r>
          </w:p>
        </w:tc>
      </w:tr>
      <w:tr w14:paraId="3321B9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2" w:type="pct"/>
            <w:vMerge w:val="continue"/>
            <w:tcBorders>
              <w:tl2br w:val="nil"/>
              <w:tr2bl w:val="nil"/>
            </w:tcBorders>
            <w:vAlign w:val="center"/>
          </w:tcPr>
          <w:p w14:paraId="07B17EE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p>
        </w:tc>
        <w:tc>
          <w:tcPr>
            <w:tcW w:w="4287" w:type="pct"/>
            <w:tcBorders>
              <w:tl2br w:val="nil"/>
              <w:tr2bl w:val="nil"/>
            </w:tcBorders>
          </w:tcPr>
          <w:p w14:paraId="7D90A00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可以制作判决书</w:t>
            </w:r>
            <w:r>
              <w:rPr>
                <w:rFonts w:hint="eastAsia" w:ascii="楷体" w:hAnsi="楷体" w:eastAsia="楷体" w:cs="楷体"/>
                <w:vertAlign w:val="baseline"/>
                <w:lang w:val="en-US" w:eastAsia="zh-CN"/>
              </w:rPr>
              <w:t>的情形：</w:t>
            </w:r>
          </w:p>
          <w:p w14:paraId="34822E2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（1）无民事行为能力人的离婚案件，法定代理人与对方达成协议要求发给判决书的</w:t>
            </w:r>
          </w:p>
          <w:p w14:paraId="7F31C4F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（2）涉外民事诉讼中，经调解双方达成协议，应当制发调解书。当事人要求发给判决书的，可以依协议的内容制作判决书送达当事人</w:t>
            </w:r>
          </w:p>
        </w:tc>
      </w:tr>
    </w:tbl>
    <w:p w14:paraId="40055A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p>
    <w:p w14:paraId="140CE353">
      <w:pPr>
        <w:pStyle w:val="3"/>
        <w:bidi w:val="0"/>
        <w:rPr>
          <w:rFonts w:hint="eastAsia" w:ascii="楷体" w:hAnsi="楷体" w:eastAsia="楷体" w:cs="楷体"/>
          <w:lang w:val="en-US" w:eastAsia="zh-CN"/>
        </w:rPr>
      </w:pPr>
      <w:bookmarkStart w:id="24" w:name="_Toc13285"/>
      <w:bookmarkStart w:id="25" w:name="_Toc6974"/>
      <w:bookmarkStart w:id="26" w:name="_Toc32403"/>
      <w:r>
        <w:rPr>
          <w:rFonts w:hint="eastAsia" w:ascii="楷体" w:hAnsi="楷体" w:eastAsia="楷体" w:cs="楷体"/>
          <w:lang w:val="en-US" w:eastAsia="zh-CN"/>
        </w:rPr>
        <w:t>专题九 诉讼保障制度</w:t>
      </w:r>
      <w:bookmarkEnd w:id="24"/>
      <w:bookmarkEnd w:id="25"/>
      <w:bookmarkEnd w:id="26"/>
    </w:p>
    <w:p w14:paraId="439C5A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考点17：先予执行</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24"/>
        <w:gridCol w:w="6698"/>
      </w:tblGrid>
      <w:tr w14:paraId="06B8538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10" w:hRule="atLeast"/>
        </w:trPr>
        <w:tc>
          <w:tcPr>
            <w:tcW w:w="1070" w:type="pct"/>
            <w:tcBorders>
              <w:tl2br w:val="nil"/>
              <w:tr2bl w:val="nil"/>
            </w:tcBorders>
            <w:vAlign w:val="center"/>
          </w:tcPr>
          <w:p w14:paraId="776F5FB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适用案件范围</w:t>
            </w:r>
          </w:p>
        </w:tc>
        <w:tc>
          <w:tcPr>
            <w:tcW w:w="3929" w:type="pct"/>
            <w:tcBorders>
              <w:tl2br w:val="nil"/>
              <w:tr2bl w:val="nil"/>
            </w:tcBorders>
          </w:tcPr>
          <w:p w14:paraId="1E6CB5E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lang w:val="en-US" w:eastAsia="zh-CN"/>
              </w:rPr>
              <w:t>追索</w:t>
            </w:r>
            <w:r>
              <w:rPr>
                <w:rFonts w:hint="eastAsia" w:ascii="楷体" w:hAnsi="楷体" w:eastAsia="楷体" w:cs="楷体"/>
                <w:color w:val="FF0000"/>
                <w:lang w:val="en-US" w:eastAsia="zh-CN"/>
              </w:rPr>
              <w:t>赡养费、扶养费、抚养费、抚恤金、医疗费用</w:t>
            </w:r>
            <w:r>
              <w:rPr>
                <w:rFonts w:hint="eastAsia" w:ascii="楷体" w:hAnsi="楷体" w:eastAsia="楷体" w:cs="楷体"/>
                <w:lang w:val="en-US" w:eastAsia="zh-CN"/>
              </w:rPr>
              <w:t>的案件</w:t>
            </w:r>
          </w:p>
          <w:p w14:paraId="52D24F0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lang w:val="en-US" w:eastAsia="zh-CN"/>
              </w:rPr>
              <w:t>追索劳动报酬的案件</w:t>
            </w:r>
          </w:p>
          <w:p w14:paraId="1EE8F0B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lang w:val="en-US" w:eastAsia="zh-CN"/>
              </w:rPr>
              <w:t>因</w:t>
            </w:r>
            <w:r>
              <w:rPr>
                <w:rFonts w:hint="eastAsia" w:ascii="楷体" w:hAnsi="楷体" w:eastAsia="楷体" w:cs="楷体"/>
                <w:color w:val="FF0000"/>
                <w:lang w:val="en-US" w:eastAsia="zh-CN"/>
              </w:rPr>
              <w:t>情况紧急</w:t>
            </w:r>
            <w:r>
              <w:rPr>
                <w:rFonts w:hint="eastAsia" w:ascii="楷体" w:hAnsi="楷体" w:eastAsia="楷体" w:cs="楷体"/>
                <w:lang w:val="en-US" w:eastAsia="zh-CN"/>
              </w:rPr>
              <w:t>需要先予执行的案件</w:t>
            </w:r>
          </w:p>
        </w:tc>
      </w:tr>
      <w:tr w14:paraId="720AEB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80" w:hRule="atLeast"/>
        </w:trPr>
        <w:tc>
          <w:tcPr>
            <w:tcW w:w="1070" w:type="pct"/>
            <w:tcBorders>
              <w:tl2br w:val="nil"/>
              <w:tr2bl w:val="nil"/>
            </w:tcBorders>
            <w:vAlign w:val="center"/>
          </w:tcPr>
          <w:p w14:paraId="463AB24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适用条件</w:t>
            </w:r>
          </w:p>
        </w:tc>
        <w:tc>
          <w:tcPr>
            <w:tcW w:w="3929" w:type="pct"/>
            <w:tcBorders>
              <w:tl2br w:val="nil"/>
              <w:tr2bl w:val="nil"/>
            </w:tcBorders>
          </w:tcPr>
          <w:p w14:paraId="429F063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1.当事人之间</w:t>
            </w:r>
            <w:r>
              <w:rPr>
                <w:rFonts w:hint="eastAsia" w:ascii="楷体" w:hAnsi="楷体" w:eastAsia="楷体" w:cs="楷体"/>
                <w:color w:val="FF0000"/>
                <w:vertAlign w:val="baseline"/>
                <w:lang w:val="en-US" w:eastAsia="zh-CN"/>
              </w:rPr>
              <w:t>权利义务关系明确</w:t>
            </w:r>
          </w:p>
          <w:p w14:paraId="5199F3A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2.申请人有实现权利的</w:t>
            </w:r>
            <w:r>
              <w:rPr>
                <w:rFonts w:hint="eastAsia" w:ascii="楷体" w:hAnsi="楷体" w:eastAsia="楷体" w:cs="楷体"/>
                <w:color w:val="FF0000"/>
                <w:vertAlign w:val="baseline"/>
                <w:lang w:val="en-US" w:eastAsia="zh-CN"/>
              </w:rPr>
              <w:t>迫切需</w:t>
            </w:r>
            <w:r>
              <w:rPr>
                <w:rFonts w:hint="eastAsia" w:ascii="楷体" w:hAnsi="楷体" w:eastAsia="楷体" w:cs="楷体"/>
                <w:vertAlign w:val="baseline"/>
                <w:lang w:val="en-US" w:eastAsia="zh-CN"/>
              </w:rPr>
              <w:t>要</w:t>
            </w:r>
          </w:p>
          <w:p w14:paraId="4F95736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3.当事人向法院提出</w:t>
            </w:r>
            <w:r>
              <w:rPr>
                <w:rFonts w:hint="eastAsia" w:ascii="楷体" w:hAnsi="楷体" w:eastAsia="楷体" w:cs="楷体"/>
                <w:color w:val="FF0000"/>
                <w:vertAlign w:val="baseline"/>
                <w:lang w:val="en-US" w:eastAsia="zh-CN"/>
              </w:rPr>
              <w:t>申请</w:t>
            </w:r>
          </w:p>
          <w:p w14:paraId="0EFDDBF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4.被申请人有</w:t>
            </w:r>
            <w:r>
              <w:rPr>
                <w:rFonts w:hint="eastAsia" w:ascii="楷体" w:hAnsi="楷体" w:eastAsia="楷体" w:cs="楷体"/>
                <w:color w:val="FF0000"/>
                <w:vertAlign w:val="baseline"/>
                <w:lang w:val="en-US" w:eastAsia="zh-CN"/>
              </w:rPr>
              <w:t>履行能力</w:t>
            </w:r>
          </w:p>
        </w:tc>
      </w:tr>
      <w:tr w14:paraId="363B7B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070" w:type="pct"/>
            <w:tcBorders>
              <w:tl2br w:val="nil"/>
              <w:tr2bl w:val="nil"/>
            </w:tcBorders>
            <w:vAlign w:val="center"/>
          </w:tcPr>
          <w:p w14:paraId="7AC2223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w:t>
            </w:r>
          </w:p>
        </w:tc>
        <w:tc>
          <w:tcPr>
            <w:tcW w:w="3929" w:type="pct"/>
            <w:tcBorders>
              <w:tl2br w:val="nil"/>
              <w:tr2bl w:val="nil"/>
            </w:tcBorders>
          </w:tcPr>
          <w:p w14:paraId="777CBF8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权利人向受诉法院</w:t>
            </w:r>
            <w:r>
              <w:rPr>
                <w:rFonts w:hint="eastAsia" w:ascii="楷体" w:hAnsi="楷体" w:eastAsia="楷体" w:cs="楷体"/>
                <w:color w:val="FF0000"/>
                <w:lang w:val="en-US" w:eastAsia="zh-CN"/>
              </w:rPr>
              <w:t>申请</w:t>
            </w:r>
            <w:r>
              <w:rPr>
                <w:rFonts w:hint="eastAsia" w:ascii="楷体" w:hAnsi="楷体" w:eastAsia="楷体" w:cs="楷体"/>
                <w:lang w:val="en-US" w:eastAsia="zh-CN"/>
              </w:rPr>
              <w:t>，法院不能主动依职权采取</w:t>
            </w:r>
          </w:p>
        </w:tc>
      </w:tr>
      <w:tr w14:paraId="52DAEF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070" w:type="pct"/>
            <w:tcBorders>
              <w:tl2br w:val="nil"/>
              <w:tr2bl w:val="nil"/>
            </w:tcBorders>
            <w:vAlign w:val="center"/>
          </w:tcPr>
          <w:p w14:paraId="5EB9BE6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文书</w:t>
            </w:r>
          </w:p>
        </w:tc>
        <w:tc>
          <w:tcPr>
            <w:tcW w:w="3929" w:type="pct"/>
            <w:tcBorders>
              <w:tl2br w:val="nil"/>
              <w:tr2bl w:val="nil"/>
            </w:tcBorders>
          </w:tcPr>
          <w:p w14:paraId="638E3D1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裁定，可申请</w:t>
            </w:r>
            <w:r>
              <w:rPr>
                <w:rFonts w:hint="eastAsia" w:ascii="楷体" w:hAnsi="楷体" w:eastAsia="楷体" w:cs="楷体"/>
                <w:color w:val="FF0000"/>
                <w:lang w:val="en-US" w:eastAsia="zh-CN"/>
              </w:rPr>
              <w:t>复议</w:t>
            </w:r>
            <w:r>
              <w:rPr>
                <w:rFonts w:hint="eastAsia" w:ascii="楷体" w:hAnsi="楷体" w:eastAsia="楷体" w:cs="楷体"/>
                <w:lang w:val="en-US" w:eastAsia="zh-CN"/>
              </w:rPr>
              <w:t>（5日内申请，法院10日审查）或由法院主动决定再审</w:t>
            </w:r>
          </w:p>
        </w:tc>
      </w:tr>
    </w:tbl>
    <w:p w14:paraId="3730B3D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p>
    <w:p w14:paraId="43FD1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考点18：送达</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33"/>
        <w:gridCol w:w="7089"/>
      </w:tblGrid>
      <w:tr w14:paraId="0086D0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0" w:hRule="atLeast"/>
        </w:trPr>
        <w:tc>
          <w:tcPr>
            <w:tcW w:w="841" w:type="pct"/>
            <w:tcBorders>
              <w:tl2br w:val="nil"/>
              <w:tr2bl w:val="nil"/>
            </w:tcBorders>
            <w:vAlign w:val="center"/>
          </w:tcPr>
          <w:p w14:paraId="7CF3E7B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直接送达</w:t>
            </w:r>
          </w:p>
        </w:tc>
        <w:tc>
          <w:tcPr>
            <w:tcW w:w="4158" w:type="pct"/>
            <w:tcBorders>
              <w:tl2br w:val="nil"/>
              <w:tr2bl w:val="nil"/>
            </w:tcBorders>
          </w:tcPr>
          <w:p w14:paraId="0390CF1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lang w:val="en-US" w:eastAsia="zh-CN"/>
              </w:rPr>
              <w:t>送达自然人的，包括</w:t>
            </w:r>
            <w:r>
              <w:rPr>
                <w:rFonts w:hint="eastAsia" w:ascii="楷体" w:hAnsi="楷体" w:eastAsia="楷体" w:cs="楷体"/>
                <w:color w:val="FF0000"/>
                <w:lang w:val="en-US" w:eastAsia="zh-CN"/>
              </w:rPr>
              <w:t>本人、同住的成年家属、诉讼代理人、指定的代收人</w:t>
            </w:r>
          </w:p>
          <w:p w14:paraId="2489655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lang w:val="en-US" w:eastAsia="zh-CN"/>
              </w:rPr>
              <w:t>送达单位的，包括</w:t>
            </w:r>
            <w:r>
              <w:rPr>
                <w:rFonts w:hint="eastAsia" w:ascii="楷体" w:hAnsi="楷体" w:eastAsia="楷体" w:cs="楷体"/>
                <w:color w:val="FF0000"/>
                <w:lang w:val="en-US" w:eastAsia="zh-CN"/>
              </w:rPr>
              <w:t>法定代表人、主要负责人、负责收件的人</w:t>
            </w:r>
          </w:p>
        </w:tc>
      </w:tr>
      <w:tr w14:paraId="0CDCF3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0" w:hRule="atLeast"/>
        </w:trPr>
        <w:tc>
          <w:tcPr>
            <w:tcW w:w="841" w:type="pct"/>
            <w:tcBorders>
              <w:tl2br w:val="nil"/>
              <w:tr2bl w:val="nil"/>
            </w:tcBorders>
            <w:vAlign w:val="center"/>
          </w:tcPr>
          <w:p w14:paraId="70CB5FE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留置送达</w:t>
            </w:r>
          </w:p>
        </w:tc>
        <w:tc>
          <w:tcPr>
            <w:tcW w:w="4158" w:type="pct"/>
            <w:tcBorders>
              <w:tl2br w:val="nil"/>
              <w:tr2bl w:val="nil"/>
            </w:tcBorders>
          </w:tcPr>
          <w:p w14:paraId="2123643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w:t>
            </w:r>
            <w:r>
              <w:rPr>
                <w:rFonts w:hint="eastAsia" w:ascii="楷体" w:hAnsi="楷体" w:eastAsia="楷体" w:cs="楷体"/>
                <w:color w:val="FF0000"/>
                <w:lang w:val="en-US" w:eastAsia="zh-CN"/>
              </w:rPr>
              <w:t>受送达人或同住成年家属拒绝接收诉讼文书</w:t>
            </w:r>
          </w:p>
          <w:p w14:paraId="71BD1DD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调解书</w:t>
            </w:r>
            <w:r>
              <w:rPr>
                <w:rFonts w:hint="eastAsia" w:ascii="楷体" w:hAnsi="楷体" w:eastAsia="楷体" w:cs="楷体"/>
                <w:lang w:val="en-US" w:eastAsia="zh-CN"/>
              </w:rPr>
              <w:t>经当事人签收后才生效，不能留置送达</w:t>
            </w:r>
          </w:p>
        </w:tc>
      </w:tr>
      <w:tr w14:paraId="74BB52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41" w:type="pct"/>
            <w:tcBorders>
              <w:tl2br w:val="nil"/>
              <w:tr2bl w:val="nil"/>
            </w:tcBorders>
            <w:vAlign w:val="center"/>
          </w:tcPr>
          <w:p w14:paraId="5137D76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电子送达</w:t>
            </w:r>
          </w:p>
        </w:tc>
        <w:tc>
          <w:tcPr>
            <w:tcW w:w="4158" w:type="pct"/>
            <w:tcBorders>
              <w:tl2br w:val="nil"/>
              <w:tr2bl w:val="nil"/>
            </w:tcBorders>
          </w:tcPr>
          <w:p w14:paraId="64B04A0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受送达人</w:t>
            </w:r>
            <w:r>
              <w:rPr>
                <w:rFonts w:hint="eastAsia" w:ascii="楷体" w:hAnsi="楷体" w:eastAsia="楷体" w:cs="楷体"/>
                <w:color w:val="FF0000"/>
                <w:lang w:val="en-US" w:eastAsia="zh-CN"/>
              </w:rPr>
              <w:t>明确同意</w:t>
            </w:r>
            <w:r>
              <w:rPr>
                <w:rFonts w:hint="eastAsia" w:ascii="楷体" w:hAnsi="楷体" w:eastAsia="楷体" w:cs="楷体"/>
                <w:lang w:val="en-US" w:eastAsia="zh-CN"/>
              </w:rPr>
              <w:t>采用能够确认其收悉的方式送达诉讼文书</w:t>
            </w:r>
          </w:p>
        </w:tc>
      </w:tr>
      <w:tr w14:paraId="2EA473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25" w:hRule="atLeast"/>
        </w:trPr>
        <w:tc>
          <w:tcPr>
            <w:tcW w:w="841" w:type="pct"/>
            <w:tcBorders>
              <w:tl2br w:val="nil"/>
              <w:tr2bl w:val="nil"/>
            </w:tcBorders>
            <w:vAlign w:val="center"/>
          </w:tcPr>
          <w:p w14:paraId="1F9E6BC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公告送达</w:t>
            </w:r>
          </w:p>
        </w:tc>
        <w:tc>
          <w:tcPr>
            <w:tcW w:w="4158" w:type="pct"/>
            <w:tcBorders>
              <w:tl2br w:val="nil"/>
              <w:tr2bl w:val="nil"/>
            </w:tcBorders>
          </w:tcPr>
          <w:p w14:paraId="7A7292F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1.适用于被送达人</w:t>
            </w:r>
            <w:r>
              <w:rPr>
                <w:rFonts w:hint="eastAsia" w:ascii="楷体" w:hAnsi="楷体" w:eastAsia="楷体" w:cs="楷体"/>
                <w:color w:val="FF0000"/>
                <w:lang w:val="en-US" w:eastAsia="zh-CN"/>
              </w:rPr>
              <w:t>下落不明</w:t>
            </w:r>
          </w:p>
          <w:p w14:paraId="5C1C63B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lang w:val="en-US" w:eastAsia="zh-CN"/>
              </w:rPr>
              <w:t>其他方式</w:t>
            </w:r>
            <w:r>
              <w:rPr>
                <w:rFonts w:hint="eastAsia" w:ascii="楷体" w:hAnsi="楷体" w:eastAsia="楷体" w:cs="楷体"/>
                <w:color w:val="FF0000"/>
                <w:lang w:val="en-US" w:eastAsia="zh-CN"/>
              </w:rPr>
              <w:t>无法送达</w:t>
            </w:r>
          </w:p>
          <w:p w14:paraId="2C5905B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支付令</w:t>
            </w:r>
            <w:r>
              <w:rPr>
                <w:rFonts w:hint="eastAsia" w:ascii="楷体" w:hAnsi="楷体" w:eastAsia="楷体" w:cs="楷体"/>
                <w:vertAlign w:val="baseline"/>
                <w:lang w:val="en-US" w:eastAsia="zh-CN"/>
              </w:rPr>
              <w:t>不能公告送达；</w:t>
            </w:r>
            <w:r>
              <w:rPr>
                <w:rFonts w:hint="eastAsia" w:ascii="楷体" w:hAnsi="楷体" w:eastAsia="楷体" w:cs="楷体"/>
                <w:color w:val="FF0000"/>
                <w:vertAlign w:val="baseline"/>
                <w:lang w:val="en-US" w:eastAsia="zh-CN"/>
              </w:rPr>
              <w:t>简易程序</w:t>
            </w:r>
            <w:r>
              <w:rPr>
                <w:rFonts w:hint="eastAsia" w:ascii="楷体" w:hAnsi="楷体" w:eastAsia="楷体" w:cs="楷体"/>
                <w:vertAlign w:val="baseline"/>
                <w:lang w:val="en-US" w:eastAsia="zh-CN"/>
              </w:rPr>
              <w:t>审理的案件不能公告送达</w:t>
            </w:r>
          </w:p>
        </w:tc>
      </w:tr>
    </w:tbl>
    <w:p w14:paraId="5C6F8B72">
      <w:pPr>
        <w:pStyle w:val="3"/>
        <w:bidi w:val="0"/>
        <w:rPr>
          <w:rFonts w:hint="eastAsia" w:ascii="楷体" w:hAnsi="楷体" w:eastAsia="楷体" w:cs="楷体"/>
          <w:lang w:val="en-US" w:eastAsia="zh-CN"/>
        </w:rPr>
      </w:pPr>
      <w:bookmarkStart w:id="27" w:name="_Toc3722"/>
      <w:bookmarkStart w:id="28" w:name="_Toc25871"/>
      <w:bookmarkStart w:id="29" w:name="_Toc16381"/>
      <w:r>
        <w:rPr>
          <w:rFonts w:hint="eastAsia" w:ascii="楷体" w:hAnsi="楷体" w:eastAsia="楷体" w:cs="楷体"/>
          <w:lang w:val="en-US" w:eastAsia="zh-CN"/>
        </w:rPr>
        <w:t>专题十 一审普通程序</w:t>
      </w:r>
      <w:bookmarkEnd w:id="27"/>
      <w:bookmarkEnd w:id="28"/>
      <w:bookmarkEnd w:id="29"/>
    </w:p>
    <w:p w14:paraId="0174BD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考点19：起诉</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043"/>
        <w:gridCol w:w="7479"/>
      </w:tblGrid>
      <w:tr w14:paraId="7E5A8A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12" w:type="pct"/>
            <w:tcBorders>
              <w:tl2br w:val="nil"/>
              <w:tr2bl w:val="nil"/>
            </w:tcBorders>
            <w:vAlign w:val="center"/>
          </w:tcPr>
          <w:p w14:paraId="3BF827D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原告</w:t>
            </w:r>
          </w:p>
        </w:tc>
        <w:tc>
          <w:tcPr>
            <w:tcW w:w="4387" w:type="pct"/>
            <w:tcBorders>
              <w:tl2br w:val="nil"/>
              <w:tr2bl w:val="nil"/>
            </w:tcBorders>
          </w:tcPr>
          <w:p w14:paraId="24B01AB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必须是与本案有直接利害关系的公民、法人或者其他组织：原则上是发生争议的法律关系（诉讼标的）的主体。非法律关系主体可以做当事人的有：失踪人的财产代管人；死亡人的近亲属；遗产管理人、遗嘱执行人；著作权集体管理组织</w:t>
            </w:r>
          </w:p>
        </w:tc>
      </w:tr>
      <w:tr w14:paraId="04DE80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12" w:type="pct"/>
            <w:tcBorders>
              <w:tl2br w:val="nil"/>
              <w:tr2bl w:val="nil"/>
            </w:tcBorders>
            <w:vAlign w:val="center"/>
          </w:tcPr>
          <w:p w14:paraId="5A3ECC2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被告</w:t>
            </w:r>
          </w:p>
        </w:tc>
        <w:tc>
          <w:tcPr>
            <w:tcW w:w="4387" w:type="pct"/>
            <w:tcBorders>
              <w:tl2br w:val="nil"/>
              <w:tr2bl w:val="nil"/>
            </w:tcBorders>
          </w:tcPr>
          <w:p w14:paraId="538D678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有明确的被告。</w:t>
            </w:r>
            <w:r>
              <w:rPr>
                <w:rFonts w:hint="eastAsia" w:ascii="楷体" w:hAnsi="楷体" w:eastAsia="楷体" w:cs="楷体"/>
                <w:color w:val="FF0000"/>
                <w:lang w:val="en-US" w:eastAsia="zh-CN"/>
              </w:rPr>
              <w:t>而不是要求实体上正确</w:t>
            </w:r>
          </w:p>
        </w:tc>
      </w:tr>
      <w:tr w14:paraId="0A0F76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12" w:type="pct"/>
            <w:tcBorders>
              <w:tl2br w:val="nil"/>
              <w:tr2bl w:val="nil"/>
            </w:tcBorders>
            <w:vAlign w:val="center"/>
          </w:tcPr>
          <w:p w14:paraId="6C616B8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请求</w:t>
            </w:r>
          </w:p>
        </w:tc>
        <w:tc>
          <w:tcPr>
            <w:tcW w:w="4387" w:type="pct"/>
            <w:tcBorders>
              <w:tl2br w:val="nil"/>
              <w:tr2bl w:val="nil"/>
            </w:tcBorders>
          </w:tcPr>
          <w:p w14:paraId="1D79CAD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有具体的诉讼请求、事实和理由</w:t>
            </w:r>
          </w:p>
        </w:tc>
      </w:tr>
      <w:tr w14:paraId="0D1877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612" w:type="pct"/>
            <w:tcBorders>
              <w:tl2br w:val="nil"/>
              <w:tr2bl w:val="nil"/>
            </w:tcBorders>
            <w:vAlign w:val="center"/>
          </w:tcPr>
          <w:p w14:paraId="44927CE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4387" w:type="pct"/>
            <w:tcBorders>
              <w:tl2br w:val="nil"/>
              <w:tr2bl w:val="nil"/>
            </w:tcBorders>
          </w:tcPr>
          <w:p w14:paraId="1448FEB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属于人民法院受理民事诉讼的范围和受诉法院管辖</w:t>
            </w:r>
          </w:p>
        </w:tc>
      </w:tr>
    </w:tbl>
    <w:p w14:paraId="09747D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考点20：一事不再理</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54"/>
        <w:gridCol w:w="6968"/>
      </w:tblGrid>
      <w:tr w14:paraId="5BA885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12" w:type="pct"/>
            <w:tcBorders>
              <w:tl2br w:val="nil"/>
              <w:tr2bl w:val="nil"/>
            </w:tcBorders>
            <w:vAlign w:val="center"/>
          </w:tcPr>
          <w:p w14:paraId="4821937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一般原则</w:t>
            </w:r>
          </w:p>
        </w:tc>
        <w:tc>
          <w:tcPr>
            <w:tcW w:w="4087" w:type="pct"/>
            <w:tcBorders>
              <w:tl2br w:val="nil"/>
              <w:tr2bl w:val="nil"/>
            </w:tcBorders>
          </w:tcPr>
          <w:p w14:paraId="771A898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已经法院实体处理过的同一案件，当事人又起诉的，不予受理</w:t>
            </w:r>
          </w:p>
        </w:tc>
      </w:tr>
      <w:tr w14:paraId="513C65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0" w:hRule="atLeast"/>
        </w:trPr>
        <w:tc>
          <w:tcPr>
            <w:tcW w:w="912" w:type="pct"/>
            <w:tcBorders>
              <w:tl2br w:val="nil"/>
              <w:tr2bl w:val="nil"/>
            </w:tcBorders>
            <w:vAlign w:val="center"/>
          </w:tcPr>
          <w:p w14:paraId="402C222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不属于一事不再理</w:t>
            </w:r>
          </w:p>
        </w:tc>
        <w:tc>
          <w:tcPr>
            <w:tcW w:w="4087" w:type="pct"/>
            <w:tcBorders>
              <w:tl2br w:val="nil"/>
              <w:tr2bl w:val="nil"/>
            </w:tcBorders>
          </w:tcPr>
          <w:p w14:paraId="320380B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lang w:val="en-US" w:eastAsia="zh-CN"/>
              </w:rPr>
              <w:t>对于裁定不予受理、驳回起诉的案件，原告再次起诉的，应予受理</w:t>
            </w:r>
          </w:p>
          <w:p w14:paraId="181CA19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lang w:val="en-US" w:eastAsia="zh-CN"/>
              </w:rPr>
              <w:t>人民法院准许撤诉的案件再次起诉的，人民法院应当受理</w:t>
            </w:r>
          </w:p>
        </w:tc>
      </w:tr>
      <w:tr w14:paraId="5C4780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880" w:hRule="atLeast"/>
        </w:trPr>
        <w:tc>
          <w:tcPr>
            <w:tcW w:w="912" w:type="pct"/>
            <w:tcBorders>
              <w:tl2br w:val="nil"/>
              <w:tr2bl w:val="nil"/>
            </w:tcBorders>
            <w:vAlign w:val="center"/>
          </w:tcPr>
          <w:p w14:paraId="475BEC9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例外</w:t>
            </w:r>
          </w:p>
        </w:tc>
        <w:tc>
          <w:tcPr>
            <w:tcW w:w="4087" w:type="pct"/>
            <w:tcBorders>
              <w:tl2br w:val="nil"/>
              <w:tr2bl w:val="nil"/>
            </w:tcBorders>
          </w:tcPr>
          <w:p w14:paraId="111E57D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lang w:val="en-US" w:eastAsia="zh-CN"/>
              </w:rPr>
              <w:t>对于离婚案件，判决不准离婚或调解和好的，判决、调解维持收养关系的案件，被告可以随时起诉；原告有新情况、新理由，或原告在6个月之后起诉的，应予受理</w:t>
            </w:r>
          </w:p>
          <w:p w14:paraId="0ACB0D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lang w:val="en-US" w:eastAsia="zh-CN"/>
              </w:rPr>
              <w:t>赡养费、扶养费、抚养费案件，裁判发生法律效力后，因新情况、新理由，一方当事人再行起诉要求增加或减少费用的，人民法院应作为新案受理</w:t>
            </w:r>
          </w:p>
        </w:tc>
      </w:tr>
      <w:tr w14:paraId="13946B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00" w:hRule="atLeast"/>
        </w:trPr>
        <w:tc>
          <w:tcPr>
            <w:tcW w:w="912" w:type="pct"/>
            <w:tcBorders>
              <w:tl2br w:val="nil"/>
              <w:tr2bl w:val="nil"/>
            </w:tcBorders>
            <w:vAlign w:val="center"/>
          </w:tcPr>
          <w:p w14:paraId="680D4A0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重复起诉的判断标准</w:t>
            </w:r>
          </w:p>
        </w:tc>
        <w:tc>
          <w:tcPr>
            <w:tcW w:w="4087" w:type="pct"/>
            <w:tcBorders>
              <w:tl2br w:val="nil"/>
              <w:tr2bl w:val="nil"/>
            </w:tcBorders>
          </w:tcPr>
          <w:p w14:paraId="3238D3A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lang w:val="en-US" w:eastAsia="zh-CN"/>
              </w:rPr>
              <w:t>后诉与前诉的当事人相同</w:t>
            </w:r>
          </w:p>
          <w:p w14:paraId="01860E8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lang w:val="en-US" w:eastAsia="zh-CN"/>
              </w:rPr>
              <w:t>后诉与前诉的诉讼标的相同</w:t>
            </w:r>
          </w:p>
          <w:p w14:paraId="7892F14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lang w:val="en-US" w:eastAsia="zh-CN"/>
              </w:rPr>
              <w:t>后诉与前诉的诉讼请求相同，或者后诉的诉讼请求实质上否定前诉裁判结果</w:t>
            </w:r>
          </w:p>
        </w:tc>
      </w:tr>
    </w:tbl>
    <w:p w14:paraId="267683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考点21：撤诉</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62"/>
        <w:gridCol w:w="1100"/>
        <w:gridCol w:w="5960"/>
      </w:tblGrid>
      <w:tr w14:paraId="5D60A3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58" w:type="pct"/>
            <w:vMerge w:val="restart"/>
            <w:tcBorders>
              <w:tl2br w:val="nil"/>
              <w:tr2bl w:val="nil"/>
            </w:tcBorders>
            <w:vAlign w:val="center"/>
          </w:tcPr>
          <w:p w14:paraId="78E1F80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申请撤诉</w:t>
            </w:r>
          </w:p>
        </w:tc>
        <w:tc>
          <w:tcPr>
            <w:tcW w:w="645" w:type="pct"/>
            <w:tcBorders>
              <w:tl2br w:val="nil"/>
              <w:tr2bl w:val="nil"/>
            </w:tcBorders>
            <w:vAlign w:val="center"/>
          </w:tcPr>
          <w:p w14:paraId="65E0D6D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申请人</w:t>
            </w:r>
          </w:p>
        </w:tc>
        <w:tc>
          <w:tcPr>
            <w:tcW w:w="3495" w:type="pct"/>
            <w:tcBorders>
              <w:tl2br w:val="nil"/>
              <w:tr2bl w:val="nil"/>
            </w:tcBorders>
          </w:tcPr>
          <w:p w14:paraId="3DF1BDA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原告、有独立请求权第三人</w:t>
            </w:r>
          </w:p>
        </w:tc>
      </w:tr>
      <w:tr w14:paraId="680087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8" w:type="pct"/>
            <w:vMerge w:val="continue"/>
            <w:tcBorders>
              <w:tl2br w:val="nil"/>
              <w:tr2bl w:val="nil"/>
            </w:tcBorders>
            <w:vAlign w:val="center"/>
          </w:tcPr>
          <w:p w14:paraId="794E883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45" w:type="pct"/>
            <w:tcBorders>
              <w:tl2br w:val="nil"/>
              <w:tr2bl w:val="nil"/>
            </w:tcBorders>
            <w:vAlign w:val="center"/>
          </w:tcPr>
          <w:p w14:paraId="76095ED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申请时间</w:t>
            </w:r>
          </w:p>
        </w:tc>
        <w:tc>
          <w:tcPr>
            <w:tcW w:w="3495" w:type="pct"/>
            <w:tcBorders>
              <w:tl2br w:val="nil"/>
              <w:tr2bl w:val="nil"/>
            </w:tcBorders>
          </w:tcPr>
          <w:p w14:paraId="43C118C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案件受理后，判决宣告前</w:t>
            </w:r>
          </w:p>
        </w:tc>
      </w:tr>
      <w:tr w14:paraId="59C449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8" w:type="pct"/>
            <w:vMerge w:val="continue"/>
            <w:tcBorders>
              <w:tl2br w:val="nil"/>
              <w:tr2bl w:val="nil"/>
            </w:tcBorders>
            <w:vAlign w:val="center"/>
          </w:tcPr>
          <w:p w14:paraId="2D80BAE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45" w:type="pct"/>
            <w:tcBorders>
              <w:tl2br w:val="nil"/>
              <w:tr2bl w:val="nil"/>
            </w:tcBorders>
            <w:vAlign w:val="center"/>
          </w:tcPr>
          <w:p w14:paraId="3D5B9A9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是否准许</w:t>
            </w:r>
          </w:p>
        </w:tc>
        <w:tc>
          <w:tcPr>
            <w:tcW w:w="3495" w:type="pct"/>
            <w:tcBorders>
              <w:tl2br w:val="nil"/>
              <w:tr2bl w:val="nil"/>
            </w:tcBorders>
          </w:tcPr>
          <w:p w14:paraId="55EB1AA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1.申请符合条件的，裁定准许；申请不符合条件的，</w:t>
            </w:r>
            <w:r>
              <w:rPr>
                <w:rFonts w:hint="eastAsia" w:ascii="楷体" w:hAnsi="楷体" w:eastAsia="楷体" w:cs="楷体"/>
                <w:color w:val="FF0000"/>
                <w:lang w:val="en-US" w:eastAsia="zh-CN"/>
              </w:rPr>
              <w:t>裁定驳回</w:t>
            </w:r>
            <w:r>
              <w:rPr>
                <w:rFonts w:hint="eastAsia" w:ascii="楷体" w:hAnsi="楷体" w:eastAsia="楷体" w:cs="楷体"/>
                <w:lang w:val="en-US" w:eastAsia="zh-CN"/>
              </w:rPr>
              <w:t>申请，案件继续审理</w:t>
            </w:r>
          </w:p>
          <w:p w14:paraId="1EF09E2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法庭辩论终结后</w:t>
            </w:r>
            <w:r>
              <w:rPr>
                <w:rFonts w:hint="eastAsia" w:ascii="楷体" w:hAnsi="楷体" w:eastAsia="楷体" w:cs="楷体"/>
                <w:lang w:val="en-US" w:eastAsia="zh-CN"/>
              </w:rPr>
              <w:t>原告申请撤诉，被告不同意的，人民法院可以不予准许</w:t>
            </w:r>
          </w:p>
        </w:tc>
      </w:tr>
      <w:tr w14:paraId="6B10DC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8" w:type="pct"/>
            <w:vMerge w:val="restart"/>
            <w:tcBorders>
              <w:tl2br w:val="nil"/>
              <w:tr2bl w:val="nil"/>
            </w:tcBorders>
            <w:vAlign w:val="center"/>
          </w:tcPr>
          <w:p w14:paraId="016E111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视为撤诉</w:t>
            </w:r>
          </w:p>
        </w:tc>
        <w:tc>
          <w:tcPr>
            <w:tcW w:w="645" w:type="pct"/>
            <w:tcBorders>
              <w:tl2br w:val="nil"/>
              <w:tr2bl w:val="nil"/>
            </w:tcBorders>
            <w:vAlign w:val="center"/>
          </w:tcPr>
          <w:p w14:paraId="2AF6814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行为表现</w:t>
            </w:r>
          </w:p>
        </w:tc>
        <w:tc>
          <w:tcPr>
            <w:tcW w:w="3495" w:type="pct"/>
            <w:tcBorders>
              <w:tl2br w:val="nil"/>
              <w:tr2bl w:val="nil"/>
            </w:tcBorders>
          </w:tcPr>
          <w:p w14:paraId="79B206E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经传票传唤无正当理由拒不到庭，未经法庭许可中途退庭，不交纳诉讼费用</w:t>
            </w:r>
          </w:p>
        </w:tc>
      </w:tr>
      <w:tr w14:paraId="011F98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8" w:type="pct"/>
            <w:vMerge w:val="continue"/>
            <w:tcBorders>
              <w:tl2br w:val="nil"/>
              <w:tr2bl w:val="nil"/>
            </w:tcBorders>
            <w:vAlign w:val="center"/>
          </w:tcPr>
          <w:p w14:paraId="35AC063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645" w:type="pct"/>
            <w:tcBorders>
              <w:tl2br w:val="nil"/>
              <w:tr2bl w:val="nil"/>
            </w:tcBorders>
            <w:vAlign w:val="center"/>
          </w:tcPr>
          <w:p w14:paraId="4A36A8D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主体</w:t>
            </w:r>
          </w:p>
        </w:tc>
        <w:tc>
          <w:tcPr>
            <w:tcW w:w="3495" w:type="pct"/>
            <w:tcBorders>
              <w:tl2br w:val="nil"/>
              <w:tr2bl w:val="nil"/>
            </w:tcBorders>
          </w:tcPr>
          <w:p w14:paraId="24AAD8E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原告、有独立请求权的第三人、无行为能力的原告的法定代理人</w:t>
            </w:r>
          </w:p>
        </w:tc>
      </w:tr>
      <w:tr w14:paraId="4BB54E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8" w:type="pct"/>
            <w:tcBorders>
              <w:tl2br w:val="nil"/>
              <w:tr2bl w:val="nil"/>
            </w:tcBorders>
            <w:vAlign w:val="center"/>
          </w:tcPr>
          <w:p w14:paraId="51CDD30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撤销的效果</w:t>
            </w:r>
          </w:p>
        </w:tc>
        <w:tc>
          <w:tcPr>
            <w:tcW w:w="4141" w:type="pct"/>
            <w:gridSpan w:val="2"/>
            <w:tcBorders>
              <w:tl2br w:val="nil"/>
              <w:tr2bl w:val="nil"/>
            </w:tcBorders>
          </w:tcPr>
          <w:p w14:paraId="2BDC25D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1.一审撤诉的，当事人向法院再起诉的，法院应当受理</w:t>
            </w:r>
          </w:p>
          <w:p w14:paraId="564D55F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2.二审程序和再审程序中一审原告在审理程序中撤回起诉后重复起诉的，人民法院不予受理</w:t>
            </w:r>
          </w:p>
        </w:tc>
      </w:tr>
    </w:tbl>
    <w:p w14:paraId="084D2F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考点22：诉讼障碍</w:t>
      </w:r>
    </w:p>
    <w:tbl>
      <w:tblPr>
        <w:tblStyle w:val="12"/>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26"/>
        <w:gridCol w:w="1200"/>
        <w:gridCol w:w="5993"/>
      </w:tblGrid>
      <w:tr w14:paraId="7B86F3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5" w:hRule="atLeast"/>
        </w:trPr>
        <w:tc>
          <w:tcPr>
            <w:tcW w:w="778" w:type="pct"/>
            <w:vMerge w:val="restart"/>
            <w:tcBorders>
              <w:tl2br w:val="nil"/>
              <w:tr2bl w:val="nil"/>
            </w:tcBorders>
            <w:vAlign w:val="center"/>
          </w:tcPr>
          <w:p w14:paraId="075CB9A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延期审理</w:t>
            </w:r>
          </w:p>
        </w:tc>
        <w:tc>
          <w:tcPr>
            <w:tcW w:w="704" w:type="pct"/>
            <w:tcBorders>
              <w:tl2br w:val="nil"/>
              <w:tr2bl w:val="nil"/>
            </w:tcBorders>
            <w:vAlign w:val="center"/>
          </w:tcPr>
          <w:p w14:paraId="5073D4B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lang w:val="en-US" w:eastAsia="zh-CN"/>
              </w:rPr>
            </w:pPr>
            <w:r>
              <w:rPr>
                <w:rFonts w:hint="eastAsia" w:ascii="楷体" w:hAnsi="楷体" w:eastAsia="楷体" w:cs="楷体"/>
                <w:lang w:val="en-US" w:eastAsia="zh-CN"/>
              </w:rPr>
              <w:t>诉讼文书</w:t>
            </w:r>
          </w:p>
        </w:tc>
        <w:tc>
          <w:tcPr>
            <w:tcW w:w="3516" w:type="pct"/>
            <w:tcBorders>
              <w:tl2br w:val="nil"/>
              <w:tr2bl w:val="nil"/>
            </w:tcBorders>
          </w:tcPr>
          <w:p w14:paraId="10600CD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lang w:val="en-US" w:eastAsia="zh-CN"/>
              </w:rPr>
              <w:t>决定</w:t>
            </w:r>
          </w:p>
        </w:tc>
      </w:tr>
      <w:tr w14:paraId="163DF3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5" w:hRule="atLeast"/>
        </w:trPr>
        <w:tc>
          <w:tcPr>
            <w:tcW w:w="778" w:type="pct"/>
            <w:vMerge w:val="continue"/>
            <w:tcBorders>
              <w:tl2br w:val="nil"/>
              <w:tr2bl w:val="nil"/>
            </w:tcBorders>
            <w:vAlign w:val="center"/>
          </w:tcPr>
          <w:p w14:paraId="03DF519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704" w:type="pct"/>
            <w:tcBorders>
              <w:tl2br w:val="nil"/>
              <w:tr2bl w:val="nil"/>
            </w:tcBorders>
            <w:vAlign w:val="center"/>
          </w:tcPr>
          <w:p w14:paraId="310C8DE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法定情形</w:t>
            </w:r>
          </w:p>
        </w:tc>
        <w:tc>
          <w:tcPr>
            <w:tcW w:w="3516" w:type="pct"/>
            <w:tcBorders>
              <w:tl2br w:val="nil"/>
              <w:tr2bl w:val="nil"/>
            </w:tcBorders>
          </w:tcPr>
          <w:p w14:paraId="5D0D324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color w:val="FF0000"/>
                <w:lang w:val="en-US" w:eastAsia="zh-CN"/>
              </w:rPr>
              <w:t>1.必须到庭的当事人和其他诉讼参与人有正当理由没有到庭的</w:t>
            </w:r>
          </w:p>
          <w:p w14:paraId="1322403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2.当事人临时提出回避申请的</w:t>
            </w:r>
          </w:p>
          <w:p w14:paraId="181E649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3.需要通知新的证人到庭，调取新的证据，重新鉴定、勘验，或者需要补充调查的</w:t>
            </w:r>
          </w:p>
          <w:p w14:paraId="76C348E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4.其他应当延期的情形</w:t>
            </w:r>
          </w:p>
        </w:tc>
      </w:tr>
      <w:tr w14:paraId="180CC5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30" w:hRule="atLeast"/>
        </w:trPr>
        <w:tc>
          <w:tcPr>
            <w:tcW w:w="778" w:type="pct"/>
            <w:vMerge w:val="restart"/>
            <w:tcBorders>
              <w:tl2br w:val="nil"/>
              <w:tr2bl w:val="nil"/>
            </w:tcBorders>
            <w:vAlign w:val="center"/>
          </w:tcPr>
          <w:p w14:paraId="6200A7C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诉讼中止（裁定）</w:t>
            </w:r>
          </w:p>
        </w:tc>
        <w:tc>
          <w:tcPr>
            <w:tcW w:w="704" w:type="pct"/>
            <w:tcBorders>
              <w:tl2br w:val="nil"/>
              <w:tr2bl w:val="nil"/>
            </w:tcBorders>
            <w:vAlign w:val="center"/>
          </w:tcPr>
          <w:p w14:paraId="70845BD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lang w:val="en-US" w:eastAsia="zh-CN"/>
              </w:rPr>
            </w:pPr>
            <w:r>
              <w:rPr>
                <w:rFonts w:hint="eastAsia" w:ascii="楷体" w:hAnsi="楷体" w:eastAsia="楷体" w:cs="楷体"/>
                <w:lang w:val="en-US" w:eastAsia="zh-CN"/>
              </w:rPr>
              <w:t>诉讼文书</w:t>
            </w:r>
          </w:p>
        </w:tc>
        <w:tc>
          <w:tcPr>
            <w:tcW w:w="3516" w:type="pct"/>
            <w:tcBorders>
              <w:tl2br w:val="nil"/>
              <w:tr2bl w:val="nil"/>
            </w:tcBorders>
          </w:tcPr>
          <w:p w14:paraId="768DF0A7">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楷体" w:hAnsi="楷体" w:eastAsia="楷体" w:cs="楷体"/>
                <w:lang w:val="en-US" w:eastAsia="zh-CN"/>
              </w:rPr>
            </w:pPr>
            <w:r>
              <w:rPr>
                <w:rFonts w:hint="eastAsia" w:ascii="楷体" w:hAnsi="楷体" w:eastAsia="楷体" w:cs="楷体"/>
                <w:lang w:val="en-US" w:eastAsia="zh-CN"/>
              </w:rPr>
              <w:t>裁定</w:t>
            </w:r>
          </w:p>
        </w:tc>
      </w:tr>
      <w:tr w14:paraId="5E2386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5" w:hRule="atLeast"/>
        </w:trPr>
        <w:tc>
          <w:tcPr>
            <w:tcW w:w="778" w:type="pct"/>
            <w:vMerge w:val="continue"/>
            <w:tcBorders>
              <w:tl2br w:val="nil"/>
              <w:tr2bl w:val="nil"/>
            </w:tcBorders>
            <w:vAlign w:val="center"/>
          </w:tcPr>
          <w:p w14:paraId="0480F80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704" w:type="pct"/>
            <w:tcBorders>
              <w:tl2br w:val="nil"/>
              <w:tr2bl w:val="nil"/>
            </w:tcBorders>
            <w:vAlign w:val="center"/>
          </w:tcPr>
          <w:p w14:paraId="0AB09EF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法定情形</w:t>
            </w:r>
          </w:p>
        </w:tc>
        <w:tc>
          <w:tcPr>
            <w:tcW w:w="3516" w:type="pct"/>
            <w:tcBorders>
              <w:tl2br w:val="nil"/>
              <w:tr2bl w:val="nil"/>
            </w:tcBorders>
          </w:tcPr>
          <w:p w14:paraId="24F8F84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color w:val="FF0000"/>
                <w:lang w:val="en-US" w:eastAsia="zh-CN"/>
              </w:rPr>
              <w:t>1.一方当事人死亡，需要等待继承人表明是否参加诉讼的</w:t>
            </w:r>
          </w:p>
          <w:p w14:paraId="56BAE3E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2.一方当事人丧失诉讼行为能力，尚未确定法定代理人的</w:t>
            </w:r>
          </w:p>
          <w:p w14:paraId="38D2599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3.作为一方当事人的法人或者其他组织终止，尚未确定权利义务承受人的</w:t>
            </w:r>
          </w:p>
          <w:p w14:paraId="5861B4C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4.一方当事人因不可抗拒的事由，不能参加诉讼的</w:t>
            </w:r>
          </w:p>
          <w:p w14:paraId="51EB4D5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5.本案必须以另一案的审理结果为依据，而另一案尚未审结的</w:t>
            </w:r>
          </w:p>
        </w:tc>
      </w:tr>
      <w:tr w14:paraId="4C6D73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8" w:type="pct"/>
            <w:vMerge w:val="restart"/>
            <w:tcBorders>
              <w:tl2br w:val="nil"/>
              <w:tr2bl w:val="nil"/>
            </w:tcBorders>
            <w:vAlign w:val="center"/>
          </w:tcPr>
          <w:p w14:paraId="7F7389C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诉讼终结（裁定）</w:t>
            </w:r>
          </w:p>
        </w:tc>
        <w:tc>
          <w:tcPr>
            <w:tcW w:w="704" w:type="pct"/>
            <w:tcBorders>
              <w:tl2br w:val="nil"/>
              <w:tr2bl w:val="nil"/>
            </w:tcBorders>
            <w:vAlign w:val="center"/>
          </w:tcPr>
          <w:p w14:paraId="414A5B9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lang w:val="en-US" w:eastAsia="zh-CN"/>
              </w:rPr>
            </w:pPr>
            <w:r>
              <w:rPr>
                <w:rFonts w:hint="eastAsia" w:ascii="楷体" w:hAnsi="楷体" w:eastAsia="楷体" w:cs="楷体"/>
                <w:lang w:val="en-US" w:eastAsia="zh-CN"/>
              </w:rPr>
              <w:t>诉讼文书</w:t>
            </w:r>
          </w:p>
        </w:tc>
        <w:tc>
          <w:tcPr>
            <w:tcW w:w="3516" w:type="pct"/>
            <w:tcBorders>
              <w:tl2br w:val="nil"/>
              <w:tr2bl w:val="nil"/>
            </w:tcBorders>
          </w:tcPr>
          <w:p w14:paraId="3F6E85D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裁定</w:t>
            </w:r>
          </w:p>
        </w:tc>
      </w:tr>
      <w:tr w14:paraId="6BBDCE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8" w:type="pct"/>
            <w:vMerge w:val="continue"/>
            <w:tcBorders>
              <w:tl2br w:val="nil"/>
              <w:tr2bl w:val="nil"/>
            </w:tcBorders>
            <w:vAlign w:val="center"/>
          </w:tcPr>
          <w:p w14:paraId="0CC3635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704" w:type="pct"/>
            <w:tcBorders>
              <w:tl2br w:val="nil"/>
              <w:tr2bl w:val="nil"/>
            </w:tcBorders>
            <w:vAlign w:val="center"/>
          </w:tcPr>
          <w:p w14:paraId="632AB52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法定情形</w:t>
            </w:r>
          </w:p>
        </w:tc>
        <w:tc>
          <w:tcPr>
            <w:tcW w:w="3516" w:type="pct"/>
            <w:tcBorders>
              <w:tl2br w:val="nil"/>
              <w:tr2bl w:val="nil"/>
            </w:tcBorders>
          </w:tcPr>
          <w:p w14:paraId="50F3348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color w:val="FF0000"/>
                <w:lang w:val="en-US" w:eastAsia="zh-CN"/>
              </w:rPr>
              <w:t>1.原告死亡，没有继承人或者继承人放弃诉讼权利的</w:t>
            </w:r>
          </w:p>
          <w:p w14:paraId="095ECB3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被告死亡，没有遗产也没有应当承担义务的人的</w:t>
            </w:r>
          </w:p>
          <w:p w14:paraId="38BD163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3.离婚案件中的</w:t>
            </w:r>
            <w:r>
              <w:rPr>
                <w:rFonts w:hint="eastAsia" w:ascii="楷体" w:hAnsi="楷体" w:eastAsia="楷体" w:cs="楷体"/>
                <w:color w:val="FF0000"/>
                <w:lang w:val="en-US" w:eastAsia="zh-CN"/>
              </w:rPr>
              <w:t>一方当事人死亡</w:t>
            </w:r>
            <w:r>
              <w:rPr>
                <w:rFonts w:hint="eastAsia" w:ascii="楷体" w:hAnsi="楷体" w:eastAsia="楷体" w:cs="楷体"/>
                <w:lang w:val="en-US" w:eastAsia="zh-CN"/>
              </w:rPr>
              <w:t>的</w:t>
            </w:r>
          </w:p>
          <w:p w14:paraId="5271C7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4.追索赡养费、扶养费、抚养费以及解除收养关系案件的</w:t>
            </w:r>
            <w:r>
              <w:rPr>
                <w:rFonts w:hint="eastAsia" w:ascii="楷体" w:hAnsi="楷体" w:eastAsia="楷体" w:cs="楷体"/>
                <w:color w:val="FF0000"/>
                <w:lang w:val="en-US" w:eastAsia="zh-CN"/>
              </w:rPr>
              <w:t>一方当事人死亡</w:t>
            </w:r>
            <w:r>
              <w:rPr>
                <w:rFonts w:hint="eastAsia" w:ascii="楷体" w:hAnsi="楷体" w:eastAsia="楷体" w:cs="楷体"/>
                <w:lang w:val="en-US" w:eastAsia="zh-CN"/>
              </w:rPr>
              <w:t>的</w:t>
            </w:r>
          </w:p>
        </w:tc>
      </w:tr>
    </w:tbl>
    <w:p w14:paraId="38BB8D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考点23：公益诉讼</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99"/>
        <w:gridCol w:w="7223"/>
      </w:tblGrid>
      <w:tr w14:paraId="41A0D7D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762" w:type="pct"/>
            <w:tcBorders>
              <w:tl2br w:val="nil"/>
              <w:tr2bl w:val="nil"/>
            </w:tcBorders>
            <w:vAlign w:val="center"/>
          </w:tcPr>
          <w:p w14:paraId="02FE816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起诉主体</w:t>
            </w:r>
          </w:p>
        </w:tc>
        <w:tc>
          <w:tcPr>
            <w:tcW w:w="4237" w:type="pct"/>
            <w:tcBorders>
              <w:tl2br w:val="nil"/>
              <w:tr2bl w:val="nil"/>
            </w:tcBorders>
          </w:tcPr>
          <w:p w14:paraId="3FD1AF2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对于污染环境、侵害众多消费者合法权益等损害社会公共利益的行为，法律规定的机关和有关组织可以作为原告起诉：</w:t>
            </w:r>
          </w:p>
          <w:p w14:paraId="11D2DB6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1.《环境保护法》第58条规定，依法在设区的市级以上人民政府民政部门登记或专门从事环境保护公益活动连续五年以上且无违法记录的社会组织可以向法院提起环境公益诉讼</w:t>
            </w:r>
            <w:r>
              <w:rPr>
                <w:rFonts w:hint="eastAsia" w:ascii="楷体" w:hAnsi="楷体" w:eastAsia="楷体" w:cs="楷体"/>
                <w:color w:val="FF0000"/>
                <w:lang w:val="en-US" w:eastAsia="zh-CN"/>
              </w:rPr>
              <w:t>（级别高+年头长）</w:t>
            </w:r>
          </w:p>
          <w:p w14:paraId="1BA8761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《消费者权益保护法》第47条规定，中国消费者协会以及在省、自治区、直辖市设立的消费者协会，可以向法院提起消费者公益诉讼。</w:t>
            </w:r>
            <w:r>
              <w:rPr>
                <w:rFonts w:hint="eastAsia" w:ascii="楷体" w:hAnsi="楷体" w:eastAsia="楷体" w:cs="楷体"/>
                <w:color w:val="FF0000"/>
                <w:lang w:val="en-US" w:eastAsia="zh-CN"/>
              </w:rPr>
              <w:t>（中国消协+省级消协）</w:t>
            </w:r>
          </w:p>
          <w:p w14:paraId="2C70528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2.</w:t>
            </w:r>
            <w:r>
              <w:rPr>
                <w:rFonts w:hint="eastAsia" w:ascii="楷体" w:hAnsi="楷体" w:eastAsia="楷体" w:cs="楷体"/>
                <w:color w:val="FF0000"/>
                <w:lang w:val="en-US" w:eastAsia="zh-CN"/>
              </w:rPr>
              <w:t>人民检察院</w:t>
            </w:r>
            <w:r>
              <w:rPr>
                <w:rFonts w:hint="eastAsia" w:ascii="楷体" w:hAnsi="楷体" w:eastAsia="楷体" w:cs="楷体"/>
                <w:lang w:val="en-US" w:eastAsia="zh-CN"/>
              </w:rPr>
              <w:t>在履行职责中发现破坏生态环境和资源保护、食品药品安全领域侵害众多消费者合法权益等损害社会公共利益的行为，在没有前款规定的机关和组织或者前款规定的机关和组织不提起诉讼的情况下（诉前公告），可以向人民法院提起诉讼。前款规定的机关或者组织提起诉讼的，人民检察院可以支持起诉</w:t>
            </w:r>
          </w:p>
        </w:tc>
      </w:tr>
      <w:tr w14:paraId="30C9B7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2" w:type="pct"/>
            <w:tcBorders>
              <w:tl2br w:val="nil"/>
              <w:tr2bl w:val="nil"/>
            </w:tcBorders>
            <w:vAlign w:val="center"/>
          </w:tcPr>
          <w:p w14:paraId="71362DD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起诉条件</w:t>
            </w:r>
          </w:p>
        </w:tc>
        <w:tc>
          <w:tcPr>
            <w:tcW w:w="4237" w:type="pct"/>
            <w:tcBorders>
              <w:tl2br w:val="nil"/>
              <w:tr2bl w:val="nil"/>
            </w:tcBorders>
          </w:tcPr>
          <w:p w14:paraId="727B050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1.有明确的被告</w:t>
            </w:r>
          </w:p>
          <w:p w14:paraId="5A4A57C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2.有具体的诉讼请求</w:t>
            </w:r>
          </w:p>
          <w:p w14:paraId="07FEB9D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lang w:val="en-US" w:eastAsia="zh-CN"/>
              </w:rPr>
            </w:pPr>
            <w:r>
              <w:rPr>
                <w:rFonts w:hint="eastAsia" w:ascii="楷体" w:hAnsi="楷体" w:eastAsia="楷体" w:cs="楷体"/>
                <w:lang w:val="en-US" w:eastAsia="zh-CN"/>
              </w:rPr>
              <w:t>3.</w:t>
            </w:r>
            <w:r>
              <w:rPr>
                <w:rFonts w:hint="eastAsia" w:ascii="楷体" w:hAnsi="楷体" w:eastAsia="楷体" w:cs="楷体"/>
                <w:color w:val="FF0000"/>
                <w:lang w:val="en-US" w:eastAsia="zh-CN"/>
              </w:rPr>
              <w:t>有社会公共利益受到损害的初步证据</w:t>
            </w:r>
          </w:p>
          <w:p w14:paraId="6945E71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4.属于人民法院受理民事诉讼的范围和受诉人民法院管辖</w:t>
            </w:r>
          </w:p>
        </w:tc>
      </w:tr>
      <w:tr w14:paraId="771ED2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2" w:type="pct"/>
            <w:tcBorders>
              <w:tl2br w:val="nil"/>
              <w:tr2bl w:val="nil"/>
            </w:tcBorders>
            <w:vAlign w:val="center"/>
          </w:tcPr>
          <w:p w14:paraId="451CE2B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管辖</w:t>
            </w:r>
          </w:p>
        </w:tc>
        <w:tc>
          <w:tcPr>
            <w:tcW w:w="4237" w:type="pct"/>
            <w:tcBorders>
              <w:tl2br w:val="nil"/>
              <w:tr2bl w:val="nil"/>
            </w:tcBorders>
          </w:tcPr>
          <w:p w14:paraId="4D3C7A2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1.由</w:t>
            </w:r>
            <w:r>
              <w:rPr>
                <w:rFonts w:hint="eastAsia" w:ascii="楷体" w:hAnsi="楷体" w:eastAsia="楷体" w:cs="楷体"/>
                <w:color w:val="FF0000"/>
                <w:lang w:val="en-US" w:eastAsia="zh-CN"/>
              </w:rPr>
              <w:t>侵权行为地</w:t>
            </w:r>
            <w:r>
              <w:rPr>
                <w:rFonts w:hint="eastAsia" w:ascii="楷体" w:hAnsi="楷体" w:eastAsia="楷体" w:cs="楷体"/>
                <w:lang w:val="en-US" w:eastAsia="zh-CN"/>
              </w:rPr>
              <w:t>或者</w:t>
            </w:r>
            <w:r>
              <w:rPr>
                <w:rFonts w:hint="eastAsia" w:ascii="楷体" w:hAnsi="楷体" w:eastAsia="楷体" w:cs="楷体"/>
                <w:color w:val="FF0000"/>
                <w:lang w:val="en-US" w:eastAsia="zh-CN"/>
              </w:rPr>
              <w:t>被告住所地中级人民法院</w:t>
            </w:r>
            <w:r>
              <w:rPr>
                <w:rFonts w:hint="eastAsia" w:ascii="楷体" w:hAnsi="楷体" w:eastAsia="楷体" w:cs="楷体"/>
                <w:lang w:val="en-US" w:eastAsia="zh-CN"/>
              </w:rPr>
              <w:t>管辖</w:t>
            </w:r>
          </w:p>
          <w:p w14:paraId="1C54735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2.因污染海洋环境提起的公益诉讼，由</w:t>
            </w:r>
            <w:r>
              <w:rPr>
                <w:rFonts w:hint="eastAsia" w:ascii="楷体" w:hAnsi="楷体" w:eastAsia="楷体" w:cs="楷体"/>
                <w:color w:val="FF0000"/>
                <w:lang w:val="en-US" w:eastAsia="zh-CN"/>
              </w:rPr>
              <w:t>污染发生地、损害结果地或者采取预防污染措施地</w:t>
            </w:r>
            <w:r>
              <w:rPr>
                <w:rFonts w:hint="eastAsia" w:ascii="楷体" w:hAnsi="楷体" w:eastAsia="楷体" w:cs="楷体"/>
                <w:lang w:val="en-US" w:eastAsia="zh-CN"/>
              </w:rPr>
              <w:t>海事法院管辖</w:t>
            </w:r>
          </w:p>
          <w:p w14:paraId="46162EC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3.对同一侵权行为分别向两个以上人民法院提起公益诉讼的，由</w:t>
            </w:r>
            <w:r>
              <w:rPr>
                <w:rFonts w:hint="eastAsia" w:ascii="楷体" w:hAnsi="楷体" w:eastAsia="楷体" w:cs="楷体"/>
                <w:color w:val="FF0000"/>
                <w:lang w:val="en-US" w:eastAsia="zh-CN"/>
              </w:rPr>
              <w:t>最先立案的人民法院</w:t>
            </w:r>
            <w:r>
              <w:rPr>
                <w:rFonts w:hint="eastAsia" w:ascii="楷体" w:hAnsi="楷体" w:eastAsia="楷体" w:cs="楷体"/>
                <w:lang w:val="en-US" w:eastAsia="zh-CN"/>
              </w:rPr>
              <w:t>管辖，必要时由它们的</w:t>
            </w:r>
            <w:r>
              <w:rPr>
                <w:rFonts w:hint="eastAsia" w:ascii="楷体" w:hAnsi="楷体" w:eastAsia="楷体" w:cs="楷体"/>
                <w:color w:val="FF0000"/>
                <w:lang w:val="en-US" w:eastAsia="zh-CN"/>
              </w:rPr>
              <w:t>共同上级人民法院指定管辖</w:t>
            </w:r>
          </w:p>
        </w:tc>
      </w:tr>
      <w:tr w14:paraId="5D20FD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2" w:type="pct"/>
            <w:tcBorders>
              <w:tl2br w:val="nil"/>
              <w:tr2bl w:val="nil"/>
            </w:tcBorders>
            <w:vAlign w:val="center"/>
          </w:tcPr>
          <w:p w14:paraId="7568E7C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审判组织</w:t>
            </w:r>
          </w:p>
        </w:tc>
        <w:tc>
          <w:tcPr>
            <w:tcW w:w="4237" w:type="pct"/>
            <w:tcBorders>
              <w:tl2br w:val="nil"/>
              <w:tr2bl w:val="nil"/>
            </w:tcBorders>
          </w:tcPr>
          <w:p w14:paraId="592ADA6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一审为7人合议庭</w:t>
            </w:r>
            <w:r>
              <w:rPr>
                <w:rFonts w:hint="eastAsia" w:ascii="楷体" w:hAnsi="楷体" w:eastAsia="楷体" w:cs="楷体"/>
                <w:color w:val="FF0000"/>
                <w:lang w:val="en-US" w:eastAsia="zh-CN"/>
              </w:rPr>
              <w:t>（3法官+4陪审员）</w:t>
            </w:r>
          </w:p>
        </w:tc>
      </w:tr>
      <w:tr w14:paraId="3D3DA9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2" w:type="pct"/>
            <w:tcBorders>
              <w:tl2br w:val="nil"/>
              <w:tr2bl w:val="nil"/>
            </w:tcBorders>
            <w:vAlign w:val="center"/>
          </w:tcPr>
          <w:p w14:paraId="4AD5617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禁止反诉</w:t>
            </w:r>
          </w:p>
        </w:tc>
        <w:tc>
          <w:tcPr>
            <w:tcW w:w="4237" w:type="pct"/>
            <w:tcBorders>
              <w:tl2br w:val="nil"/>
              <w:tr2bl w:val="nil"/>
            </w:tcBorders>
          </w:tcPr>
          <w:p w14:paraId="03EE570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lang w:val="en-US" w:eastAsia="zh-CN"/>
              </w:rPr>
            </w:pPr>
            <w:r>
              <w:rPr>
                <w:rFonts w:hint="eastAsia" w:ascii="楷体" w:hAnsi="楷体" w:eastAsia="楷体" w:cs="楷体"/>
                <w:lang w:val="en-US" w:eastAsia="zh-CN"/>
              </w:rPr>
              <w:t>公益诉讼中，被告提起反诉的，法院不予受理</w:t>
            </w:r>
          </w:p>
        </w:tc>
      </w:tr>
    </w:tbl>
    <w:p w14:paraId="39E113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考点24：第三人撤销之诉</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66"/>
        <w:gridCol w:w="1364"/>
        <w:gridCol w:w="5792"/>
      </w:tblGrid>
      <w:tr w14:paraId="766B856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01" w:type="pct"/>
            <w:vMerge w:val="restart"/>
            <w:tcBorders>
              <w:tl2br w:val="nil"/>
              <w:tr2bl w:val="nil"/>
            </w:tcBorders>
            <w:vAlign w:val="center"/>
          </w:tcPr>
          <w:p w14:paraId="761A10B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起诉与受理</w:t>
            </w:r>
          </w:p>
        </w:tc>
        <w:tc>
          <w:tcPr>
            <w:tcW w:w="800" w:type="pct"/>
            <w:tcBorders>
              <w:tl2br w:val="nil"/>
              <w:tr2bl w:val="nil"/>
            </w:tcBorders>
            <w:vAlign w:val="center"/>
          </w:tcPr>
          <w:p w14:paraId="4AE04D3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审查</w:t>
            </w:r>
          </w:p>
        </w:tc>
        <w:tc>
          <w:tcPr>
            <w:tcW w:w="3397" w:type="pct"/>
            <w:tcBorders>
              <w:tl2br w:val="nil"/>
              <w:tr2bl w:val="nil"/>
            </w:tcBorders>
          </w:tcPr>
          <w:p w14:paraId="4D96065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法院应当在收到起诉状和证据材料之日起五日内送交对方当事人</w:t>
            </w:r>
          </w:p>
        </w:tc>
      </w:tr>
      <w:tr w14:paraId="0C38F3E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505D1D3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800" w:type="pct"/>
            <w:tcBorders>
              <w:tl2br w:val="nil"/>
              <w:tr2bl w:val="nil"/>
            </w:tcBorders>
            <w:vAlign w:val="center"/>
          </w:tcPr>
          <w:p w14:paraId="5ED8613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不予受理的案件</w:t>
            </w:r>
          </w:p>
        </w:tc>
        <w:tc>
          <w:tcPr>
            <w:tcW w:w="3397" w:type="pct"/>
            <w:tcBorders>
              <w:tl2br w:val="nil"/>
              <w:tr2bl w:val="nil"/>
            </w:tcBorders>
          </w:tcPr>
          <w:p w14:paraId="04131E0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1.适用特别程序、督促程序、公示催告程序、破产程序等</w:t>
            </w:r>
            <w:r>
              <w:rPr>
                <w:rFonts w:hint="eastAsia" w:ascii="楷体" w:hAnsi="楷体" w:eastAsia="楷体" w:cs="楷体"/>
                <w:color w:val="FF0000"/>
                <w:vertAlign w:val="baseline"/>
                <w:lang w:val="en-US" w:eastAsia="zh-CN"/>
              </w:rPr>
              <w:t>非讼程序处理的案件</w:t>
            </w:r>
            <w:r>
              <w:rPr>
                <w:rFonts w:hint="eastAsia" w:ascii="楷体" w:hAnsi="楷体" w:eastAsia="楷体" w:cs="楷体"/>
                <w:vertAlign w:val="baseline"/>
                <w:lang w:val="en-US" w:eastAsia="zh-CN"/>
              </w:rPr>
              <w:br w:type="textWrapping"/>
            </w:r>
            <w:r>
              <w:rPr>
                <w:rFonts w:hint="eastAsia" w:ascii="楷体" w:hAnsi="楷体" w:eastAsia="楷体" w:cs="楷体"/>
                <w:vertAlign w:val="baseline"/>
                <w:lang w:val="en-US" w:eastAsia="zh-CN"/>
              </w:rPr>
              <w:t>2.婚姻无效、撤销或者解除婚姻关系等判决、裁定、调解书中</w:t>
            </w:r>
            <w:r>
              <w:rPr>
                <w:rFonts w:hint="eastAsia" w:ascii="楷体" w:hAnsi="楷体" w:eastAsia="楷体" w:cs="楷体"/>
                <w:color w:val="FF0000"/>
                <w:vertAlign w:val="baseline"/>
                <w:lang w:val="en-US" w:eastAsia="zh-CN"/>
              </w:rPr>
              <w:t>涉及身份关系的内容</w:t>
            </w:r>
            <w:r>
              <w:rPr>
                <w:rFonts w:hint="eastAsia" w:ascii="楷体" w:hAnsi="楷体" w:eastAsia="楷体" w:cs="楷体"/>
                <w:vertAlign w:val="baseline"/>
                <w:lang w:val="en-US" w:eastAsia="zh-CN"/>
              </w:rPr>
              <w:br w:type="textWrapping"/>
            </w:r>
            <w:r>
              <w:rPr>
                <w:rFonts w:hint="eastAsia" w:ascii="楷体" w:hAnsi="楷体" w:eastAsia="楷体" w:cs="楷体"/>
                <w:vertAlign w:val="baseline"/>
                <w:lang w:val="en-US" w:eastAsia="zh-CN"/>
              </w:rPr>
              <w:t>3.人数不确定的代表人诉讼中</w:t>
            </w:r>
            <w:r>
              <w:rPr>
                <w:rFonts w:hint="eastAsia" w:ascii="楷体" w:hAnsi="楷体" w:eastAsia="楷体" w:cs="楷体"/>
                <w:color w:val="FF0000"/>
                <w:vertAlign w:val="baseline"/>
                <w:lang w:val="en-US" w:eastAsia="zh-CN"/>
              </w:rPr>
              <w:t>未参加登记的权利人</w:t>
            </w:r>
            <w:r>
              <w:rPr>
                <w:rFonts w:hint="eastAsia" w:ascii="楷体" w:hAnsi="楷体" w:eastAsia="楷体" w:cs="楷体"/>
                <w:vertAlign w:val="baseline"/>
                <w:lang w:val="en-US" w:eastAsia="zh-CN"/>
              </w:rPr>
              <w:t>对代表人诉讼案件的生效裁判</w:t>
            </w:r>
            <w:r>
              <w:rPr>
                <w:rFonts w:hint="eastAsia" w:ascii="楷体" w:hAnsi="楷体" w:eastAsia="楷体" w:cs="楷体"/>
                <w:vertAlign w:val="baseline"/>
                <w:lang w:val="en-US" w:eastAsia="zh-CN"/>
              </w:rPr>
              <w:br w:type="textWrapping"/>
            </w:r>
            <w:r>
              <w:rPr>
                <w:rFonts w:hint="eastAsia" w:ascii="楷体" w:hAnsi="楷体" w:eastAsia="楷体" w:cs="楷体"/>
                <w:vertAlign w:val="baseline"/>
                <w:lang w:val="en-US" w:eastAsia="zh-CN"/>
              </w:rPr>
              <w:t>4.公益诉讼中损害社会公共利益行为的</w:t>
            </w:r>
            <w:r>
              <w:rPr>
                <w:rFonts w:hint="eastAsia" w:ascii="楷体" w:hAnsi="楷体" w:eastAsia="楷体" w:cs="楷体"/>
                <w:color w:val="FF0000"/>
                <w:vertAlign w:val="baseline"/>
                <w:lang w:val="en-US" w:eastAsia="zh-CN"/>
              </w:rPr>
              <w:t>受害人</w:t>
            </w:r>
            <w:r>
              <w:rPr>
                <w:rFonts w:hint="eastAsia" w:ascii="楷体" w:hAnsi="楷体" w:eastAsia="楷体" w:cs="楷体"/>
                <w:vertAlign w:val="baseline"/>
                <w:lang w:val="en-US" w:eastAsia="zh-CN"/>
              </w:rPr>
              <w:t>对公益诉讼案件的生效裁判</w:t>
            </w:r>
          </w:p>
        </w:tc>
      </w:tr>
      <w:tr w14:paraId="0757B0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restart"/>
            <w:tcBorders>
              <w:tl2br w:val="nil"/>
              <w:tr2bl w:val="nil"/>
            </w:tcBorders>
            <w:vAlign w:val="center"/>
          </w:tcPr>
          <w:p w14:paraId="69AC427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审理方式</w:t>
            </w:r>
          </w:p>
        </w:tc>
        <w:tc>
          <w:tcPr>
            <w:tcW w:w="800" w:type="pct"/>
            <w:tcBorders>
              <w:tl2br w:val="nil"/>
              <w:tr2bl w:val="nil"/>
            </w:tcBorders>
            <w:vAlign w:val="center"/>
          </w:tcPr>
          <w:p w14:paraId="2F91762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开庭审理</w:t>
            </w:r>
          </w:p>
        </w:tc>
        <w:tc>
          <w:tcPr>
            <w:tcW w:w="3397" w:type="pct"/>
            <w:tcBorders>
              <w:tl2br w:val="nil"/>
              <w:tr2bl w:val="nil"/>
            </w:tcBorders>
          </w:tcPr>
          <w:p w14:paraId="39E03F9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法院对第三人撤销之诉应当适用</w:t>
            </w:r>
            <w:r>
              <w:rPr>
                <w:rFonts w:hint="eastAsia" w:ascii="楷体" w:hAnsi="楷体" w:eastAsia="楷体" w:cs="楷体"/>
                <w:color w:val="FF0000"/>
                <w:vertAlign w:val="baseline"/>
                <w:lang w:val="en-US" w:eastAsia="zh-CN"/>
              </w:rPr>
              <w:t>一审普通程序</w:t>
            </w:r>
            <w:r>
              <w:rPr>
                <w:rFonts w:hint="eastAsia" w:ascii="楷体" w:hAnsi="楷体" w:eastAsia="楷体" w:cs="楷体"/>
                <w:vertAlign w:val="baseline"/>
                <w:lang w:val="en-US" w:eastAsia="zh-CN"/>
              </w:rPr>
              <w:t>，组成合议庭开庭审理</w:t>
            </w:r>
          </w:p>
        </w:tc>
      </w:tr>
      <w:tr w14:paraId="57E48A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188B6AA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800" w:type="pct"/>
            <w:tcBorders>
              <w:tl2br w:val="nil"/>
              <w:tr2bl w:val="nil"/>
            </w:tcBorders>
            <w:vAlign w:val="center"/>
          </w:tcPr>
          <w:p w14:paraId="436C724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诉讼地位</w:t>
            </w:r>
          </w:p>
        </w:tc>
        <w:tc>
          <w:tcPr>
            <w:tcW w:w="3397" w:type="pct"/>
            <w:tcBorders>
              <w:tl2br w:val="nil"/>
              <w:tr2bl w:val="nil"/>
            </w:tcBorders>
          </w:tcPr>
          <w:p w14:paraId="7278CB5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第三人提起撤销之诉，该第三人为</w:t>
            </w:r>
            <w:r>
              <w:rPr>
                <w:rFonts w:hint="eastAsia" w:ascii="楷体" w:hAnsi="楷体" w:eastAsia="楷体" w:cs="楷体"/>
                <w:color w:val="FF0000"/>
                <w:vertAlign w:val="baseline"/>
                <w:lang w:val="en-US" w:eastAsia="zh-CN"/>
              </w:rPr>
              <w:t>原告</w:t>
            </w:r>
            <w:r>
              <w:rPr>
                <w:rFonts w:hint="eastAsia" w:ascii="楷体" w:hAnsi="楷体" w:eastAsia="楷体" w:cs="楷体"/>
                <w:vertAlign w:val="baseline"/>
                <w:lang w:val="en-US" w:eastAsia="zh-CN"/>
              </w:rPr>
              <w:t>，生效判决、裁定、调解书的当事人为</w:t>
            </w:r>
            <w:r>
              <w:rPr>
                <w:rFonts w:hint="eastAsia" w:ascii="楷体" w:hAnsi="楷体" w:eastAsia="楷体" w:cs="楷体"/>
                <w:color w:val="FF0000"/>
                <w:vertAlign w:val="baseline"/>
                <w:lang w:val="en-US" w:eastAsia="zh-CN"/>
              </w:rPr>
              <w:t>被告，</w:t>
            </w:r>
            <w:r>
              <w:rPr>
                <w:rFonts w:hint="eastAsia" w:ascii="楷体" w:hAnsi="楷体" w:eastAsia="楷体" w:cs="楷体"/>
                <w:vertAlign w:val="baseline"/>
                <w:lang w:val="en-US" w:eastAsia="zh-CN"/>
              </w:rPr>
              <w:t>但生效判决、裁定、调解书中没有承担责任的无独立请求权的第三人为</w:t>
            </w:r>
            <w:r>
              <w:rPr>
                <w:rFonts w:hint="eastAsia" w:ascii="楷体" w:hAnsi="楷体" w:eastAsia="楷体" w:cs="楷体"/>
                <w:color w:val="FF0000"/>
                <w:vertAlign w:val="baseline"/>
                <w:lang w:val="en-US" w:eastAsia="zh-CN"/>
              </w:rPr>
              <w:t>第三人</w:t>
            </w:r>
          </w:p>
        </w:tc>
      </w:tr>
      <w:tr w14:paraId="19AE0C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3E72952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800" w:type="pct"/>
            <w:tcBorders>
              <w:tl2br w:val="nil"/>
              <w:tr2bl w:val="nil"/>
            </w:tcBorders>
            <w:vAlign w:val="center"/>
          </w:tcPr>
          <w:p w14:paraId="68EE469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中止执行</w:t>
            </w:r>
          </w:p>
        </w:tc>
        <w:tc>
          <w:tcPr>
            <w:tcW w:w="3397" w:type="pct"/>
            <w:tcBorders>
              <w:tl2br w:val="nil"/>
              <w:tr2bl w:val="nil"/>
            </w:tcBorders>
          </w:tcPr>
          <w:p w14:paraId="3BFF94A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法院受理第三人撤销之诉后，原告提供相应担保，请求中止执行的，法院可以准许；第三人提起撤销之诉后，未中止生效判决、裁定、调解书执行的，第三人可以在执行中可以提出</w:t>
            </w:r>
            <w:r>
              <w:rPr>
                <w:rFonts w:hint="eastAsia" w:ascii="楷体" w:hAnsi="楷体" w:eastAsia="楷体" w:cs="楷体"/>
                <w:color w:val="FF0000"/>
                <w:vertAlign w:val="baseline"/>
                <w:lang w:val="en-US" w:eastAsia="zh-CN"/>
              </w:rPr>
              <w:t>案外人对执行标的的异议</w:t>
            </w:r>
            <w:r>
              <w:rPr>
                <w:rFonts w:hint="eastAsia" w:ascii="楷体" w:hAnsi="楷体" w:eastAsia="楷体" w:cs="楷体"/>
                <w:vertAlign w:val="baseline"/>
                <w:lang w:val="en-US" w:eastAsia="zh-CN"/>
              </w:rPr>
              <w:t>，经法院审查，异议成立的，裁定中止执行，异议成立的，裁定中止执行，异议不成立的，裁定驳回</w:t>
            </w:r>
          </w:p>
        </w:tc>
      </w:tr>
      <w:tr w14:paraId="04CC3E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restart"/>
            <w:tcBorders>
              <w:tl2br w:val="nil"/>
              <w:tr2bl w:val="nil"/>
            </w:tcBorders>
            <w:vAlign w:val="center"/>
          </w:tcPr>
          <w:p w14:paraId="1E4F7BF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判决结果（可上诉）</w:t>
            </w:r>
          </w:p>
        </w:tc>
        <w:tc>
          <w:tcPr>
            <w:tcW w:w="800" w:type="pct"/>
            <w:vMerge w:val="restart"/>
            <w:tcBorders>
              <w:tl2br w:val="nil"/>
              <w:tr2bl w:val="nil"/>
            </w:tcBorders>
            <w:vAlign w:val="center"/>
          </w:tcPr>
          <w:p w14:paraId="5BF1AC1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请求成立</w:t>
            </w:r>
          </w:p>
        </w:tc>
        <w:tc>
          <w:tcPr>
            <w:tcW w:w="3397" w:type="pct"/>
            <w:tcBorders>
              <w:tl2br w:val="nil"/>
              <w:tr2bl w:val="nil"/>
            </w:tcBorders>
          </w:tcPr>
          <w:p w14:paraId="230082A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确认其民事权利的主张全部或部分成立的，</w:t>
            </w:r>
            <w:r>
              <w:rPr>
                <w:rFonts w:hint="eastAsia" w:ascii="楷体" w:hAnsi="楷体" w:eastAsia="楷体" w:cs="楷体"/>
                <w:color w:val="FF0000"/>
                <w:vertAlign w:val="baseline"/>
                <w:lang w:val="en-US" w:eastAsia="zh-CN"/>
              </w:rPr>
              <w:t>改变</w:t>
            </w:r>
            <w:r>
              <w:rPr>
                <w:rFonts w:hint="eastAsia" w:ascii="楷体" w:hAnsi="楷体" w:eastAsia="楷体" w:cs="楷体"/>
                <w:vertAlign w:val="baseline"/>
                <w:lang w:val="en-US" w:eastAsia="zh-CN"/>
              </w:rPr>
              <w:t>原判决、裁定、调解书内容的错误部分</w:t>
            </w:r>
          </w:p>
        </w:tc>
      </w:tr>
      <w:tr w14:paraId="0CFA93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6ECE3C9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800" w:type="pct"/>
            <w:vMerge w:val="continue"/>
            <w:tcBorders>
              <w:tl2br w:val="nil"/>
              <w:tr2bl w:val="nil"/>
            </w:tcBorders>
            <w:vAlign w:val="center"/>
          </w:tcPr>
          <w:p w14:paraId="03C1482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3397" w:type="pct"/>
            <w:tcBorders>
              <w:tl2br w:val="nil"/>
              <w:tr2bl w:val="nil"/>
            </w:tcBorders>
          </w:tcPr>
          <w:p w14:paraId="36ABC01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确认其全部或部分民事权利的主张不成立，或者未提出确认其民事权利请求的，</w:t>
            </w:r>
            <w:r>
              <w:rPr>
                <w:rFonts w:hint="eastAsia" w:ascii="楷体" w:hAnsi="楷体" w:eastAsia="楷体" w:cs="楷体"/>
                <w:color w:val="FF0000"/>
                <w:vertAlign w:val="baseline"/>
                <w:lang w:val="en-US" w:eastAsia="zh-CN"/>
              </w:rPr>
              <w:t>撤销</w:t>
            </w:r>
            <w:r>
              <w:rPr>
                <w:rFonts w:hint="eastAsia" w:ascii="楷体" w:hAnsi="楷体" w:eastAsia="楷体" w:cs="楷体"/>
                <w:vertAlign w:val="baseline"/>
                <w:lang w:val="en-US" w:eastAsia="zh-CN"/>
              </w:rPr>
              <w:t>原判决、裁定、调解书内容的错误部分</w:t>
            </w:r>
          </w:p>
        </w:tc>
      </w:tr>
      <w:tr w14:paraId="4E9770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5810EBA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800" w:type="pct"/>
            <w:tcBorders>
              <w:tl2br w:val="nil"/>
              <w:tr2bl w:val="nil"/>
            </w:tcBorders>
            <w:vAlign w:val="center"/>
          </w:tcPr>
          <w:p w14:paraId="2CF6087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请求不成立</w:t>
            </w:r>
          </w:p>
        </w:tc>
        <w:tc>
          <w:tcPr>
            <w:tcW w:w="3397" w:type="pct"/>
            <w:tcBorders>
              <w:tl2br w:val="nil"/>
              <w:tr2bl w:val="nil"/>
            </w:tcBorders>
          </w:tcPr>
          <w:p w14:paraId="0661578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驳回</w:t>
            </w:r>
            <w:r>
              <w:rPr>
                <w:rFonts w:hint="eastAsia" w:ascii="楷体" w:hAnsi="楷体" w:eastAsia="楷体" w:cs="楷体"/>
                <w:vertAlign w:val="baseline"/>
                <w:lang w:val="en-US" w:eastAsia="zh-CN"/>
              </w:rPr>
              <w:t>诉讼请求</w:t>
            </w:r>
          </w:p>
        </w:tc>
      </w:tr>
      <w:tr w14:paraId="659EFB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restart"/>
            <w:tcBorders>
              <w:tl2br w:val="nil"/>
              <w:tr2bl w:val="nil"/>
            </w:tcBorders>
            <w:vAlign w:val="center"/>
          </w:tcPr>
          <w:p w14:paraId="6524A5D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与再审的关系</w:t>
            </w:r>
          </w:p>
        </w:tc>
        <w:tc>
          <w:tcPr>
            <w:tcW w:w="800" w:type="pct"/>
            <w:vMerge w:val="restart"/>
            <w:tcBorders>
              <w:tl2br w:val="nil"/>
              <w:tr2bl w:val="nil"/>
            </w:tcBorders>
            <w:vAlign w:val="center"/>
          </w:tcPr>
          <w:p w14:paraId="5CAAF18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原则</w:t>
            </w:r>
          </w:p>
        </w:tc>
        <w:tc>
          <w:tcPr>
            <w:tcW w:w="3397" w:type="pct"/>
            <w:tcBorders>
              <w:tl2br w:val="nil"/>
              <w:tr2bl w:val="nil"/>
            </w:tcBorders>
          </w:tcPr>
          <w:p w14:paraId="4197705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再审优先，第三人撤销之诉并入再审：</w:t>
            </w:r>
            <w:r>
              <w:rPr>
                <w:rFonts w:hint="eastAsia" w:ascii="楷体" w:hAnsi="楷体" w:eastAsia="楷体" w:cs="楷体"/>
                <w:vertAlign w:val="baseline"/>
                <w:lang w:val="en-US" w:eastAsia="zh-CN"/>
              </w:rPr>
              <w:t>第三人撤销之诉案件审理期间，人民法院对生效判决、裁定、调解书裁定再审的，受理第三人撤销之诉的人民法院应当</w:t>
            </w:r>
            <w:r>
              <w:rPr>
                <w:rFonts w:hint="eastAsia" w:ascii="楷体" w:hAnsi="楷体" w:eastAsia="楷体" w:cs="楷体"/>
                <w:color w:val="FF0000"/>
                <w:vertAlign w:val="baseline"/>
                <w:lang w:val="en-US" w:eastAsia="zh-CN"/>
              </w:rPr>
              <w:t>裁定将第三人的诉讼请求并入再审程序</w:t>
            </w:r>
          </w:p>
        </w:tc>
      </w:tr>
      <w:tr w14:paraId="5FA45E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59502E8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800" w:type="pct"/>
            <w:vMerge w:val="continue"/>
            <w:tcBorders>
              <w:tl2br w:val="nil"/>
              <w:tr2bl w:val="nil"/>
            </w:tcBorders>
            <w:vAlign w:val="center"/>
          </w:tcPr>
          <w:p w14:paraId="18A6BCF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3397" w:type="pct"/>
            <w:tcBorders>
              <w:tl2br w:val="nil"/>
              <w:tr2bl w:val="nil"/>
            </w:tcBorders>
          </w:tcPr>
          <w:p w14:paraId="0973A3A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并入再审后的处理方式：</w:t>
            </w:r>
          </w:p>
          <w:p w14:paraId="2C0BF37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1.按照第一审程序审理的，人民法院应当对第三人的诉讼请求一并审理，所作的判决</w:t>
            </w:r>
            <w:r>
              <w:rPr>
                <w:rFonts w:hint="eastAsia" w:ascii="楷体" w:hAnsi="楷体" w:eastAsia="楷体" w:cs="楷体"/>
                <w:color w:val="FF0000"/>
                <w:vertAlign w:val="baseline"/>
                <w:lang w:val="en-US" w:eastAsia="zh-CN"/>
              </w:rPr>
              <w:t>可以上诉</w:t>
            </w:r>
          </w:p>
          <w:p w14:paraId="564589E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2.按照第二审程序审理的，人民法院可以调解，调解达不成协议的，应当裁定撤销原判决、裁定、调解书，</w:t>
            </w:r>
            <w:r>
              <w:rPr>
                <w:rFonts w:hint="eastAsia" w:ascii="楷体" w:hAnsi="楷体" w:eastAsia="楷体" w:cs="楷体"/>
                <w:color w:val="FF0000"/>
                <w:vertAlign w:val="baseline"/>
                <w:lang w:val="en-US" w:eastAsia="zh-CN"/>
              </w:rPr>
              <w:t>发回一审法院重审</w:t>
            </w:r>
            <w:r>
              <w:rPr>
                <w:rFonts w:hint="eastAsia" w:ascii="楷体" w:hAnsi="楷体" w:eastAsia="楷体" w:cs="楷体"/>
                <w:vertAlign w:val="baseline"/>
                <w:lang w:val="en-US" w:eastAsia="zh-CN"/>
              </w:rPr>
              <w:t>，重审时应当列明第三人</w:t>
            </w:r>
          </w:p>
        </w:tc>
      </w:tr>
      <w:tr w14:paraId="073CF1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01" w:type="pct"/>
            <w:vMerge w:val="continue"/>
            <w:tcBorders>
              <w:tl2br w:val="nil"/>
              <w:tr2bl w:val="nil"/>
            </w:tcBorders>
            <w:vAlign w:val="center"/>
          </w:tcPr>
          <w:p w14:paraId="65EF7D3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800" w:type="pct"/>
            <w:tcBorders>
              <w:tl2br w:val="nil"/>
              <w:tr2bl w:val="nil"/>
            </w:tcBorders>
            <w:vAlign w:val="center"/>
          </w:tcPr>
          <w:p w14:paraId="186E2B3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w:t>
            </w:r>
          </w:p>
        </w:tc>
        <w:tc>
          <w:tcPr>
            <w:tcW w:w="3397" w:type="pct"/>
            <w:tcBorders>
              <w:tl2br w:val="nil"/>
              <w:tr2bl w:val="nil"/>
            </w:tcBorders>
          </w:tcPr>
          <w:p w14:paraId="48C275C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第三人撤销之诉优先，中止再审：</w:t>
            </w:r>
            <w:r>
              <w:rPr>
                <w:rFonts w:hint="eastAsia" w:ascii="楷体" w:hAnsi="楷体" w:eastAsia="楷体" w:cs="楷体"/>
                <w:vertAlign w:val="baseline"/>
                <w:lang w:val="en-US" w:eastAsia="zh-CN"/>
              </w:rPr>
              <w:t>第三人撤销之诉案件审理期间，人民法院对生效判决、裁定、调解书裁定再审，但有证据证明原审当事人之间恶意串通损害第三人合法权益的，人民法院应当先行审理第三人撤销之诉案件，裁定中止再审诉讼</w:t>
            </w:r>
          </w:p>
        </w:tc>
      </w:tr>
    </w:tbl>
    <w:p w14:paraId="29C5E6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考点25：执行异议之诉</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1"/>
        <w:gridCol w:w="7141"/>
      </w:tblGrid>
      <w:tr w14:paraId="6041FF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494E135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提起条件</w:t>
            </w:r>
          </w:p>
        </w:tc>
        <w:tc>
          <w:tcPr>
            <w:tcW w:w="4189" w:type="pct"/>
            <w:tcBorders>
              <w:tl2br w:val="nil"/>
              <w:tr2bl w:val="nil"/>
            </w:tcBorders>
          </w:tcPr>
          <w:p w14:paraId="3730787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1.符合一般的起诉条件</w:t>
            </w:r>
          </w:p>
          <w:p w14:paraId="5525090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2.案外人的执行异议申请已经被人民法院裁定驳回（案外人提起执行异议之诉的条件）；或：依案外人执行异议申请，人民法院裁定中止执行（申请执行人提起执行异议之诉的条件）</w:t>
            </w:r>
          </w:p>
          <w:p w14:paraId="748D3A9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有明确的排除对执行标的执行的诉讼请求，且诉讼请求与原判决、裁定无关</w:t>
            </w:r>
          </w:p>
          <w:p w14:paraId="0067D8B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4.自执行异议裁定送达之日起十五日内提起</w:t>
            </w:r>
          </w:p>
        </w:tc>
      </w:tr>
      <w:tr w14:paraId="10D775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10" w:type="pct"/>
            <w:tcBorders>
              <w:tl2br w:val="nil"/>
              <w:tr2bl w:val="nil"/>
            </w:tcBorders>
            <w:vAlign w:val="center"/>
          </w:tcPr>
          <w:p w14:paraId="71B4372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程序</w:t>
            </w:r>
          </w:p>
        </w:tc>
        <w:tc>
          <w:tcPr>
            <w:tcW w:w="4189" w:type="pct"/>
            <w:tcBorders>
              <w:tl2br w:val="nil"/>
              <w:tr2bl w:val="nil"/>
            </w:tcBorders>
          </w:tcPr>
          <w:p w14:paraId="582BE7C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1.法院裁定</w:t>
            </w:r>
            <w:r>
              <w:rPr>
                <w:rFonts w:hint="eastAsia" w:ascii="楷体" w:hAnsi="楷体" w:eastAsia="楷体" w:cs="楷体"/>
                <w:color w:val="FF0000"/>
                <w:vertAlign w:val="baseline"/>
                <w:lang w:val="en-US" w:eastAsia="zh-CN"/>
              </w:rPr>
              <w:t>中止执行</w:t>
            </w:r>
            <w:r>
              <w:rPr>
                <w:rFonts w:hint="eastAsia" w:ascii="楷体" w:hAnsi="楷体" w:eastAsia="楷体" w:cs="楷体"/>
                <w:vertAlign w:val="baseline"/>
                <w:lang w:val="en-US" w:eastAsia="zh-CN"/>
              </w:rPr>
              <w:t>——申请人起诉（</w:t>
            </w:r>
            <w:r>
              <w:rPr>
                <w:rFonts w:hint="eastAsia" w:ascii="楷体" w:hAnsi="楷体" w:eastAsia="楷体" w:cs="楷体"/>
                <w:color w:val="FF0000"/>
                <w:vertAlign w:val="baseline"/>
                <w:lang w:val="en-US" w:eastAsia="zh-CN"/>
              </w:rPr>
              <w:t>申请人执行异议之诉</w:t>
            </w:r>
            <w:r>
              <w:rPr>
                <w:rFonts w:hint="eastAsia" w:ascii="楷体" w:hAnsi="楷体" w:eastAsia="楷体" w:cs="楷体"/>
                <w:vertAlign w:val="baseline"/>
                <w:lang w:val="en-US" w:eastAsia="zh-CN"/>
              </w:rPr>
              <w:t>）</w:t>
            </w:r>
          </w:p>
          <w:p w14:paraId="7DC8B7B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2.法院裁定</w:t>
            </w:r>
            <w:r>
              <w:rPr>
                <w:rFonts w:hint="eastAsia" w:ascii="楷体" w:hAnsi="楷体" w:eastAsia="楷体" w:cs="楷体"/>
                <w:color w:val="FF0000"/>
                <w:vertAlign w:val="baseline"/>
                <w:lang w:val="en-US" w:eastAsia="zh-CN"/>
              </w:rPr>
              <w:t>驳回异议</w:t>
            </w:r>
            <w:r>
              <w:rPr>
                <w:rFonts w:hint="eastAsia" w:ascii="楷体" w:hAnsi="楷体" w:eastAsia="楷体" w:cs="楷体"/>
                <w:vertAlign w:val="baseline"/>
                <w:lang w:val="en-US" w:eastAsia="zh-CN"/>
              </w:rPr>
              <w:t>——案外人起诉（</w:t>
            </w:r>
            <w:r>
              <w:rPr>
                <w:rFonts w:hint="eastAsia" w:ascii="楷体" w:hAnsi="楷体" w:eastAsia="楷体" w:cs="楷体"/>
                <w:color w:val="FF0000"/>
                <w:vertAlign w:val="baseline"/>
                <w:lang w:val="en-US" w:eastAsia="zh-CN"/>
              </w:rPr>
              <w:t>案外人执行异议之诉</w:t>
            </w:r>
            <w:r>
              <w:rPr>
                <w:rFonts w:hint="eastAsia" w:ascii="楷体" w:hAnsi="楷体" w:eastAsia="楷体" w:cs="楷体"/>
                <w:vertAlign w:val="baseline"/>
                <w:lang w:val="en-US" w:eastAsia="zh-CN"/>
              </w:rPr>
              <w:t>）</w:t>
            </w:r>
          </w:p>
        </w:tc>
      </w:tr>
      <w:tr w14:paraId="3D5435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10" w:type="pct"/>
            <w:tcBorders>
              <w:tl2br w:val="nil"/>
              <w:tr2bl w:val="nil"/>
            </w:tcBorders>
            <w:vAlign w:val="center"/>
          </w:tcPr>
          <w:p w14:paraId="2BF4C75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审理</w:t>
            </w:r>
          </w:p>
        </w:tc>
        <w:tc>
          <w:tcPr>
            <w:tcW w:w="4189" w:type="pct"/>
            <w:tcBorders>
              <w:tl2br w:val="nil"/>
              <w:tr2bl w:val="nil"/>
            </w:tcBorders>
          </w:tcPr>
          <w:p w14:paraId="2AABEF5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法院审理执行异议之诉案件，适用</w:t>
            </w:r>
            <w:r>
              <w:rPr>
                <w:rFonts w:hint="eastAsia" w:ascii="楷体" w:hAnsi="楷体" w:eastAsia="楷体" w:cs="楷体"/>
                <w:color w:val="FF0000"/>
                <w:vertAlign w:val="baseline"/>
                <w:lang w:val="en-US" w:eastAsia="zh-CN"/>
              </w:rPr>
              <w:t>一审普通程序</w:t>
            </w:r>
            <w:r>
              <w:rPr>
                <w:rFonts w:hint="eastAsia" w:ascii="楷体" w:hAnsi="楷体" w:eastAsia="楷体" w:cs="楷体"/>
                <w:vertAlign w:val="baseline"/>
                <w:lang w:val="en-US" w:eastAsia="zh-CN"/>
              </w:rPr>
              <w:t>；所作判决为一审判决，当事人不服的可以上诉</w:t>
            </w:r>
          </w:p>
        </w:tc>
      </w:tr>
      <w:tr w14:paraId="3364D4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273CA81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证明责任</w:t>
            </w:r>
          </w:p>
        </w:tc>
        <w:tc>
          <w:tcPr>
            <w:tcW w:w="4189" w:type="pct"/>
            <w:tcBorders>
              <w:tl2br w:val="nil"/>
              <w:tr2bl w:val="nil"/>
            </w:tcBorders>
          </w:tcPr>
          <w:p w14:paraId="3CA2571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案外人</w:t>
            </w:r>
            <w:r>
              <w:rPr>
                <w:rFonts w:hint="eastAsia" w:ascii="楷体" w:hAnsi="楷体" w:eastAsia="楷体" w:cs="楷体"/>
                <w:vertAlign w:val="baseline"/>
                <w:lang w:val="en-US" w:eastAsia="zh-CN"/>
              </w:rPr>
              <w:t>就其对执行标的享有足以排除强制执行的权利承担证明责任</w:t>
            </w:r>
          </w:p>
        </w:tc>
      </w:tr>
    </w:tbl>
    <w:p w14:paraId="3F6B5E9D">
      <w:pPr>
        <w:pStyle w:val="3"/>
        <w:bidi w:val="0"/>
        <w:rPr>
          <w:rFonts w:hint="eastAsia" w:ascii="楷体" w:hAnsi="楷体" w:eastAsia="楷体" w:cs="楷体"/>
          <w:lang w:val="en-US" w:eastAsia="zh-CN"/>
        </w:rPr>
      </w:pPr>
      <w:bookmarkStart w:id="30" w:name="_Toc6939"/>
      <w:bookmarkStart w:id="31" w:name="_Toc1769"/>
      <w:bookmarkStart w:id="32" w:name="_Toc5884"/>
      <w:r>
        <w:rPr>
          <w:rFonts w:hint="eastAsia" w:ascii="楷体" w:hAnsi="楷体" w:eastAsia="楷体" w:cs="楷体"/>
          <w:lang w:val="en-US" w:eastAsia="zh-CN"/>
        </w:rPr>
        <w:t>专题十一 一审简易程序</w:t>
      </w:r>
      <w:bookmarkEnd w:id="30"/>
      <w:bookmarkEnd w:id="31"/>
      <w:bookmarkEnd w:id="32"/>
    </w:p>
    <w:p w14:paraId="6F4CFE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考点26：简易程序</w:t>
      </w:r>
    </w:p>
    <w:tbl>
      <w:tblPr>
        <w:tblStyle w:val="12"/>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05"/>
        <w:gridCol w:w="704"/>
        <w:gridCol w:w="6511"/>
      </w:tblGrid>
      <w:tr w14:paraId="76D117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0" w:hRule="atLeast"/>
        </w:trPr>
        <w:tc>
          <w:tcPr>
            <w:tcW w:w="766" w:type="pct"/>
            <w:tcBorders>
              <w:tl2br w:val="nil"/>
              <w:tr2bl w:val="nil"/>
            </w:tcBorders>
            <w:vAlign w:val="center"/>
          </w:tcPr>
          <w:p w14:paraId="466F71A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适用案件</w:t>
            </w:r>
          </w:p>
        </w:tc>
        <w:tc>
          <w:tcPr>
            <w:tcW w:w="4233" w:type="pct"/>
            <w:gridSpan w:val="2"/>
            <w:tcBorders>
              <w:tl2br w:val="nil"/>
              <w:tr2bl w:val="nil"/>
            </w:tcBorders>
          </w:tcPr>
          <w:p w14:paraId="253EDA0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1.事实清楚、权利义务关系明确、争议不大的第一审民事案件</w:t>
            </w:r>
          </w:p>
          <w:p w14:paraId="5D8E014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2.适用法院是基层人民法院和它的派出法庭</w:t>
            </w:r>
          </w:p>
        </w:tc>
      </w:tr>
      <w:tr w14:paraId="120857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0" w:hRule="atLeast"/>
        </w:trPr>
        <w:tc>
          <w:tcPr>
            <w:tcW w:w="766" w:type="pct"/>
            <w:tcBorders>
              <w:tl2br w:val="nil"/>
              <w:tr2bl w:val="nil"/>
            </w:tcBorders>
            <w:vAlign w:val="center"/>
          </w:tcPr>
          <w:p w14:paraId="08038A5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消极范围</w:t>
            </w:r>
          </w:p>
        </w:tc>
        <w:tc>
          <w:tcPr>
            <w:tcW w:w="4233" w:type="pct"/>
            <w:gridSpan w:val="2"/>
            <w:tcBorders>
              <w:tl2br w:val="nil"/>
              <w:tr2bl w:val="nil"/>
            </w:tcBorders>
          </w:tcPr>
          <w:p w14:paraId="4AE9F6A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以下案件不得适用：</w:t>
            </w:r>
          </w:p>
          <w:p w14:paraId="5D70953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起诉时被告下落不明的</w:t>
            </w:r>
          </w:p>
          <w:p w14:paraId="4CBED85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发回重审的</w:t>
            </w:r>
          </w:p>
          <w:p w14:paraId="5EFA3B0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当事人一方人数众多的</w:t>
            </w:r>
          </w:p>
          <w:p w14:paraId="3A2F3DC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适用审判监督程序的</w:t>
            </w:r>
          </w:p>
          <w:p w14:paraId="624775F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w:t>
            </w:r>
            <w:r>
              <w:rPr>
                <w:rFonts w:hint="eastAsia" w:ascii="楷体" w:hAnsi="楷体" w:eastAsia="楷体" w:cs="楷体"/>
                <w:color w:val="FF0000"/>
                <w:vertAlign w:val="baseline"/>
                <w:lang w:val="en-US" w:eastAsia="zh-CN"/>
              </w:rPr>
              <w:t>涉及国家利益、社会公共利益的</w:t>
            </w:r>
          </w:p>
          <w:p w14:paraId="3F2C742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6.第三人起诉请求</w:t>
            </w:r>
            <w:r>
              <w:rPr>
                <w:rFonts w:hint="eastAsia" w:ascii="楷体" w:hAnsi="楷体" w:eastAsia="楷体" w:cs="楷体"/>
                <w:color w:val="FF0000"/>
                <w:vertAlign w:val="baseline"/>
                <w:lang w:val="en-US" w:eastAsia="zh-CN"/>
              </w:rPr>
              <w:t>改变或者撤销</w:t>
            </w:r>
            <w:r>
              <w:rPr>
                <w:rFonts w:hint="eastAsia" w:ascii="楷体" w:hAnsi="楷体" w:eastAsia="楷体" w:cs="楷体"/>
                <w:vertAlign w:val="baseline"/>
                <w:lang w:val="en-US" w:eastAsia="zh-CN"/>
              </w:rPr>
              <w:t>生效判决、裁定、调解书的</w:t>
            </w:r>
          </w:p>
          <w:p w14:paraId="0F90FF6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7.其他不宜适用简易程序的案件，如：</w:t>
            </w:r>
            <w:r>
              <w:rPr>
                <w:rFonts w:hint="eastAsia" w:ascii="楷体" w:hAnsi="楷体" w:eastAsia="楷体" w:cs="楷体"/>
                <w:color w:val="FF0000"/>
                <w:vertAlign w:val="baseline"/>
                <w:lang w:val="en-US" w:eastAsia="zh-CN"/>
              </w:rPr>
              <w:t>适用特别程序、督促程序、公示催告程序、企业法人破产还债程序的案件</w:t>
            </w:r>
          </w:p>
        </w:tc>
      </w:tr>
      <w:tr w14:paraId="511718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tcBorders>
              <w:tl2br w:val="nil"/>
              <w:tr2bl w:val="nil"/>
            </w:tcBorders>
            <w:vAlign w:val="center"/>
          </w:tcPr>
          <w:p w14:paraId="181D700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特点</w:t>
            </w:r>
          </w:p>
        </w:tc>
        <w:tc>
          <w:tcPr>
            <w:tcW w:w="4233" w:type="pct"/>
            <w:gridSpan w:val="2"/>
            <w:tcBorders>
              <w:tl2br w:val="nil"/>
              <w:tr2bl w:val="nil"/>
            </w:tcBorders>
          </w:tcPr>
          <w:p w14:paraId="4A03B92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1.起诉方式简便：明确规定可以</w:t>
            </w:r>
            <w:r>
              <w:rPr>
                <w:rFonts w:hint="eastAsia" w:ascii="楷体" w:hAnsi="楷体" w:eastAsia="楷体" w:cs="楷体"/>
                <w:color w:val="FF0000"/>
                <w:vertAlign w:val="baseline"/>
                <w:lang w:val="en-US" w:eastAsia="zh-CN"/>
              </w:rPr>
              <w:t>口头起诉</w:t>
            </w:r>
          </w:p>
          <w:p w14:paraId="546BEE0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2受理程序简便：可以</w:t>
            </w:r>
            <w:r>
              <w:rPr>
                <w:rFonts w:hint="eastAsia" w:ascii="楷体" w:hAnsi="楷体" w:eastAsia="楷体" w:cs="楷体"/>
                <w:color w:val="FF0000"/>
                <w:vertAlign w:val="baseline"/>
                <w:lang w:val="en-US" w:eastAsia="zh-CN"/>
              </w:rPr>
              <w:t>当即受案审理</w:t>
            </w:r>
            <w:r>
              <w:rPr>
                <w:rFonts w:hint="eastAsia" w:ascii="楷体" w:hAnsi="楷体" w:eastAsia="楷体" w:cs="楷体"/>
                <w:vertAlign w:val="baseline"/>
                <w:lang w:val="en-US" w:eastAsia="zh-CN"/>
              </w:rPr>
              <w:t>，也可以另定日期审理</w:t>
            </w:r>
          </w:p>
          <w:p w14:paraId="5888461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3.审判组织简便：审判员一人</w:t>
            </w:r>
            <w:r>
              <w:rPr>
                <w:rFonts w:hint="eastAsia" w:ascii="楷体" w:hAnsi="楷体" w:eastAsia="楷体" w:cs="楷体"/>
                <w:color w:val="FF0000"/>
                <w:vertAlign w:val="baseline"/>
                <w:lang w:val="en-US" w:eastAsia="zh-CN"/>
              </w:rPr>
              <w:t>独任</w:t>
            </w:r>
            <w:r>
              <w:rPr>
                <w:rFonts w:hint="eastAsia" w:ascii="楷体" w:hAnsi="楷体" w:eastAsia="楷体" w:cs="楷体"/>
                <w:vertAlign w:val="baseline"/>
                <w:lang w:val="en-US" w:eastAsia="zh-CN"/>
              </w:rPr>
              <w:t>审理</w:t>
            </w:r>
          </w:p>
          <w:p w14:paraId="3D56BED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4.开庭方式简便：经当事人双方同意，可以采用</w:t>
            </w:r>
            <w:r>
              <w:rPr>
                <w:rFonts w:hint="eastAsia" w:ascii="楷体" w:hAnsi="楷体" w:eastAsia="楷体" w:cs="楷体"/>
                <w:color w:val="FF0000"/>
                <w:vertAlign w:val="baseline"/>
                <w:lang w:val="en-US" w:eastAsia="zh-CN"/>
              </w:rPr>
              <w:t>视听传输技术</w:t>
            </w:r>
            <w:r>
              <w:rPr>
                <w:rFonts w:hint="eastAsia" w:ascii="楷体" w:hAnsi="楷体" w:eastAsia="楷体" w:cs="楷体"/>
                <w:vertAlign w:val="baseline"/>
                <w:lang w:val="en-US" w:eastAsia="zh-CN"/>
              </w:rPr>
              <w:t>等方式开庭（一审程序必须开庭，没有任何例外）</w:t>
            </w:r>
          </w:p>
          <w:p w14:paraId="6C4FFE7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5.审限较短：</w:t>
            </w:r>
            <w:r>
              <w:rPr>
                <w:rFonts w:hint="eastAsia" w:ascii="楷体" w:hAnsi="楷体" w:eastAsia="楷体" w:cs="楷体"/>
                <w:color w:val="FF0000"/>
                <w:vertAlign w:val="baseline"/>
                <w:lang w:val="en-US" w:eastAsia="zh-CN"/>
              </w:rPr>
              <w:t>三个月</w:t>
            </w:r>
            <w:r>
              <w:rPr>
                <w:rFonts w:hint="eastAsia" w:ascii="楷体" w:hAnsi="楷体" w:eastAsia="楷体" w:cs="楷体"/>
                <w:vertAlign w:val="baseline"/>
                <w:lang w:val="en-US" w:eastAsia="zh-CN"/>
              </w:rPr>
              <w:t>，特殊情况需要延长的，经院长批准，可以延长一个月</w:t>
            </w:r>
          </w:p>
        </w:tc>
      </w:tr>
      <w:tr w14:paraId="4CB99E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tcBorders>
              <w:tl2br w:val="nil"/>
              <w:tr2bl w:val="nil"/>
            </w:tcBorders>
            <w:vAlign w:val="center"/>
          </w:tcPr>
          <w:p w14:paraId="071E8A1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举证期限</w:t>
            </w:r>
          </w:p>
        </w:tc>
        <w:tc>
          <w:tcPr>
            <w:tcW w:w="4233" w:type="pct"/>
            <w:gridSpan w:val="2"/>
            <w:tcBorders>
              <w:tl2br w:val="nil"/>
              <w:tr2bl w:val="nil"/>
            </w:tcBorders>
          </w:tcPr>
          <w:p w14:paraId="198E97A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当事人约定或者法院指定，</w:t>
            </w:r>
            <w:r>
              <w:rPr>
                <w:rFonts w:hint="eastAsia" w:ascii="楷体" w:hAnsi="楷体" w:eastAsia="楷体" w:cs="楷体"/>
                <w:color w:val="FF0000"/>
                <w:vertAlign w:val="baseline"/>
                <w:lang w:val="en-US" w:eastAsia="zh-CN"/>
              </w:rPr>
              <w:t>不得超过15天</w:t>
            </w:r>
            <w:r>
              <w:rPr>
                <w:rFonts w:hint="eastAsia" w:ascii="楷体" w:hAnsi="楷体" w:eastAsia="楷体" w:cs="楷体"/>
                <w:vertAlign w:val="baseline"/>
                <w:lang w:val="en-US" w:eastAsia="zh-CN"/>
              </w:rPr>
              <w:t>。</w:t>
            </w:r>
          </w:p>
          <w:p w14:paraId="1A49A68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补充：普通程序中，法院指定的举证期限不得少于15天，当事人约定的举证期限不受限制</w:t>
            </w:r>
          </w:p>
        </w:tc>
      </w:tr>
      <w:tr w14:paraId="2D23C8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vMerge w:val="restart"/>
            <w:tcBorders>
              <w:tl2br w:val="nil"/>
              <w:tr2bl w:val="nil"/>
            </w:tcBorders>
            <w:vAlign w:val="center"/>
          </w:tcPr>
          <w:p w14:paraId="4CECE09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转化为普通程序</w:t>
            </w:r>
          </w:p>
        </w:tc>
        <w:tc>
          <w:tcPr>
            <w:tcW w:w="413" w:type="pct"/>
            <w:tcBorders>
              <w:tl2br w:val="nil"/>
              <w:tr2bl w:val="nil"/>
            </w:tcBorders>
            <w:vAlign w:val="center"/>
          </w:tcPr>
          <w:p w14:paraId="2A0E36E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转换条件</w:t>
            </w:r>
          </w:p>
        </w:tc>
        <w:tc>
          <w:tcPr>
            <w:tcW w:w="3819" w:type="pct"/>
            <w:tcBorders>
              <w:tl2br w:val="nil"/>
              <w:tr2bl w:val="nil"/>
            </w:tcBorders>
          </w:tcPr>
          <w:p w14:paraId="7F0E84C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在审理过程中，发现案情复杂，需要转为普通程序的，法院裁定转为普通程序</w:t>
            </w:r>
          </w:p>
        </w:tc>
      </w:tr>
      <w:tr w14:paraId="07E618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0" w:hRule="atLeast"/>
        </w:trPr>
        <w:tc>
          <w:tcPr>
            <w:tcW w:w="766" w:type="pct"/>
            <w:vMerge w:val="continue"/>
            <w:tcBorders>
              <w:tl2br w:val="nil"/>
              <w:tr2bl w:val="nil"/>
            </w:tcBorders>
            <w:vAlign w:val="center"/>
          </w:tcPr>
          <w:p w14:paraId="6CB5808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413" w:type="pct"/>
            <w:tcBorders>
              <w:tl2br w:val="nil"/>
              <w:tr2bl w:val="nil"/>
            </w:tcBorders>
            <w:vAlign w:val="center"/>
          </w:tcPr>
          <w:p w14:paraId="464D851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期限计算</w:t>
            </w:r>
          </w:p>
        </w:tc>
        <w:tc>
          <w:tcPr>
            <w:tcW w:w="3819" w:type="pct"/>
            <w:tcBorders>
              <w:tl2br w:val="nil"/>
              <w:tr2bl w:val="nil"/>
            </w:tcBorders>
            <w:vAlign w:val="center"/>
          </w:tcPr>
          <w:p w14:paraId="1A590258">
            <w:pPr>
              <w:keepNext w:val="0"/>
              <w:keepLines w:val="0"/>
              <w:pageBreakBefore w:val="0"/>
              <w:widowControl w:val="0"/>
              <w:kinsoku/>
              <w:wordWrap/>
              <w:overflowPunct/>
              <w:topLinePunct w:val="0"/>
              <w:autoSpaceDE/>
              <w:autoSpaceDN/>
              <w:bidi w:val="0"/>
              <w:adjustRightInd/>
              <w:snapToGrid/>
              <w:spacing w:line="380" w:lineRule="exact"/>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审理期限从</w:t>
            </w:r>
            <w:r>
              <w:rPr>
                <w:rFonts w:hint="eastAsia" w:ascii="楷体" w:hAnsi="楷体" w:eastAsia="楷体" w:cs="楷体"/>
                <w:color w:val="FF0000"/>
                <w:vertAlign w:val="baseline"/>
                <w:lang w:val="en-US" w:eastAsia="zh-CN"/>
              </w:rPr>
              <w:t>立案之日</w:t>
            </w:r>
            <w:r>
              <w:rPr>
                <w:rFonts w:hint="eastAsia" w:ascii="楷体" w:hAnsi="楷体" w:eastAsia="楷体" w:cs="楷体"/>
                <w:vertAlign w:val="baseline"/>
                <w:lang w:val="en-US" w:eastAsia="zh-CN"/>
              </w:rPr>
              <w:t>计算，不是从程序改变之日起算</w:t>
            </w:r>
          </w:p>
        </w:tc>
      </w:tr>
    </w:tbl>
    <w:p w14:paraId="1F94FB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考点27：小额诉讼程序</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1"/>
        <w:gridCol w:w="7141"/>
      </w:tblGrid>
      <w:tr w14:paraId="6CB0B4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68254BE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适用情形</w:t>
            </w:r>
          </w:p>
        </w:tc>
        <w:tc>
          <w:tcPr>
            <w:tcW w:w="4189" w:type="pct"/>
            <w:tcBorders>
              <w:tl2br w:val="nil"/>
              <w:tr2bl w:val="nil"/>
            </w:tcBorders>
          </w:tcPr>
          <w:p w14:paraId="48917D2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基层人民法院和它派出的法庭审理</w:t>
            </w:r>
            <w:r>
              <w:rPr>
                <w:rFonts w:hint="eastAsia" w:ascii="楷体" w:hAnsi="楷体" w:eastAsia="楷体" w:cs="楷体"/>
                <w:color w:val="FF0000"/>
                <w:vertAlign w:val="baseline"/>
                <w:lang w:val="en-US" w:eastAsia="zh-CN"/>
              </w:rPr>
              <w:t>事实清楚、权利义务关系明确、争议不大的简单金钱给付民事案件，标的额为各省、自治区、直辖市上年度就业人员年平均工资百分之五十以下</w:t>
            </w:r>
            <w:r>
              <w:rPr>
                <w:rFonts w:hint="eastAsia" w:ascii="楷体" w:hAnsi="楷体" w:eastAsia="楷体" w:cs="楷体"/>
                <w:vertAlign w:val="baseline"/>
                <w:lang w:val="en-US" w:eastAsia="zh-CN"/>
              </w:rPr>
              <w:t>的，适用小额诉讼的程序审理，</w:t>
            </w:r>
            <w:r>
              <w:rPr>
                <w:rFonts w:hint="eastAsia" w:ascii="楷体" w:hAnsi="楷体" w:eastAsia="楷体" w:cs="楷体"/>
                <w:color w:val="FF0000"/>
                <w:vertAlign w:val="baseline"/>
                <w:lang w:val="en-US" w:eastAsia="zh-CN"/>
              </w:rPr>
              <w:t>实行一审终审，可以一次开庭并且当庭宣判</w:t>
            </w:r>
          </w:p>
        </w:tc>
      </w:tr>
      <w:tr w14:paraId="3E387E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3371FAF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再审相关</w:t>
            </w:r>
          </w:p>
        </w:tc>
        <w:tc>
          <w:tcPr>
            <w:tcW w:w="4189" w:type="pct"/>
            <w:tcBorders>
              <w:tl2br w:val="nil"/>
              <w:tr2bl w:val="nil"/>
            </w:tcBorders>
          </w:tcPr>
          <w:p w14:paraId="4AA1FE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1.对小额诉讼案件的判决、裁定，当事人</w:t>
            </w:r>
            <w:r>
              <w:rPr>
                <w:rFonts w:hint="eastAsia" w:ascii="楷体" w:hAnsi="楷体" w:eastAsia="楷体" w:cs="楷体"/>
                <w:color w:val="FF0000"/>
                <w:vertAlign w:val="baseline"/>
                <w:lang w:val="en-US" w:eastAsia="zh-CN"/>
              </w:rPr>
              <w:t>以《民事诉讼法》第211条规定的事由</w:t>
            </w:r>
            <w:r>
              <w:rPr>
                <w:rFonts w:hint="eastAsia" w:ascii="楷体" w:hAnsi="楷体" w:eastAsia="楷体" w:cs="楷体"/>
                <w:vertAlign w:val="baseline"/>
                <w:lang w:val="en-US" w:eastAsia="zh-CN"/>
              </w:rPr>
              <w:t>向原审人民法院申请再审的，作出的再审判决、裁定，当事人</w:t>
            </w:r>
            <w:r>
              <w:rPr>
                <w:rFonts w:hint="eastAsia" w:ascii="楷体" w:hAnsi="楷体" w:eastAsia="楷体" w:cs="楷体"/>
                <w:color w:val="FF0000"/>
                <w:vertAlign w:val="baseline"/>
                <w:lang w:val="en-US" w:eastAsia="zh-CN"/>
              </w:rPr>
              <w:t>不得上诉</w:t>
            </w:r>
            <w:r>
              <w:rPr>
                <w:rFonts w:hint="eastAsia" w:ascii="楷体" w:hAnsi="楷体" w:eastAsia="楷体" w:cs="楷体"/>
                <w:vertAlign w:val="baseline"/>
                <w:lang w:val="en-US" w:eastAsia="zh-CN"/>
              </w:rPr>
              <w:t>。</w:t>
            </w:r>
          </w:p>
          <w:p w14:paraId="780454C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2.当事人</w:t>
            </w:r>
            <w:r>
              <w:rPr>
                <w:rFonts w:hint="eastAsia" w:ascii="楷体" w:hAnsi="楷体" w:eastAsia="楷体" w:cs="楷体"/>
                <w:color w:val="FF0000"/>
                <w:vertAlign w:val="baseline"/>
                <w:lang w:val="en-US" w:eastAsia="zh-CN"/>
              </w:rPr>
              <w:t>以不应按小额诉讼案件审理为由</w:t>
            </w:r>
            <w:r>
              <w:rPr>
                <w:rFonts w:hint="eastAsia" w:ascii="楷体" w:hAnsi="楷体" w:eastAsia="楷体" w:cs="楷体"/>
                <w:vertAlign w:val="baseline"/>
                <w:lang w:val="en-US" w:eastAsia="zh-CN"/>
              </w:rPr>
              <w:t>向原审人民法院申请再审的，作出的再审判决、裁定，当事人</w:t>
            </w:r>
            <w:r>
              <w:rPr>
                <w:rFonts w:hint="eastAsia" w:ascii="楷体" w:hAnsi="楷体" w:eastAsia="楷体" w:cs="楷体"/>
                <w:color w:val="FF0000"/>
                <w:vertAlign w:val="baseline"/>
                <w:lang w:val="en-US" w:eastAsia="zh-CN"/>
              </w:rPr>
              <w:t>可以上诉</w:t>
            </w:r>
          </w:p>
        </w:tc>
      </w:tr>
      <w:tr w14:paraId="2BC560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0796330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消极范围</w:t>
            </w:r>
          </w:p>
        </w:tc>
        <w:tc>
          <w:tcPr>
            <w:tcW w:w="4189" w:type="pct"/>
            <w:tcBorders>
              <w:tl2br w:val="nil"/>
              <w:tr2bl w:val="nil"/>
            </w:tcBorders>
          </w:tcPr>
          <w:p w14:paraId="6376C71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下列案件，不适用小额诉讼程序审理：</w:t>
            </w:r>
          </w:p>
          <w:p w14:paraId="339B6E2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人身关系、财产确权</w:t>
            </w:r>
            <w:r>
              <w:rPr>
                <w:rFonts w:hint="eastAsia" w:ascii="楷体" w:hAnsi="楷体" w:eastAsia="楷体" w:cs="楷体"/>
                <w:vertAlign w:val="baseline"/>
                <w:lang w:val="en-US" w:eastAsia="zh-CN"/>
              </w:rPr>
              <w:t>案件；</w:t>
            </w:r>
          </w:p>
          <w:p w14:paraId="035FF07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涉外</w:t>
            </w:r>
            <w:r>
              <w:rPr>
                <w:rFonts w:hint="eastAsia" w:ascii="楷体" w:hAnsi="楷体" w:eastAsia="楷体" w:cs="楷体"/>
                <w:vertAlign w:val="baseline"/>
                <w:lang w:val="en-US" w:eastAsia="zh-CN"/>
              </w:rPr>
              <w:t>案件；</w:t>
            </w:r>
          </w:p>
          <w:p w14:paraId="6C8FBA6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.需要评估、鉴定或者对诉前评估、鉴定结果有异议</w:t>
            </w:r>
            <w:r>
              <w:rPr>
                <w:rFonts w:hint="eastAsia" w:ascii="楷体" w:hAnsi="楷体" w:eastAsia="楷体" w:cs="楷体"/>
                <w:vertAlign w:val="baseline"/>
                <w:lang w:val="en-US" w:eastAsia="zh-CN"/>
              </w:rPr>
              <w:t>的案件；</w:t>
            </w:r>
          </w:p>
          <w:p w14:paraId="7752158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一方当事人下落不明</w:t>
            </w:r>
            <w:r>
              <w:rPr>
                <w:rFonts w:hint="eastAsia" w:ascii="楷体" w:hAnsi="楷体" w:eastAsia="楷体" w:cs="楷体"/>
                <w:vertAlign w:val="baseline"/>
                <w:lang w:val="en-US" w:eastAsia="zh-CN"/>
              </w:rPr>
              <w:t>的案件；</w:t>
            </w:r>
          </w:p>
          <w:p w14:paraId="33337E4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w:t>
            </w:r>
            <w:r>
              <w:rPr>
                <w:rFonts w:hint="eastAsia" w:ascii="楷体" w:hAnsi="楷体" w:eastAsia="楷体" w:cs="楷体"/>
                <w:color w:val="FF0000"/>
                <w:vertAlign w:val="baseline"/>
                <w:lang w:val="en-US" w:eastAsia="zh-CN"/>
              </w:rPr>
              <w:t>当事人提出反诉</w:t>
            </w:r>
            <w:r>
              <w:rPr>
                <w:rFonts w:hint="eastAsia" w:ascii="楷体" w:hAnsi="楷体" w:eastAsia="楷体" w:cs="楷体"/>
                <w:vertAlign w:val="baseline"/>
                <w:lang w:val="en-US" w:eastAsia="zh-CN"/>
              </w:rPr>
              <w:t>的案件；</w:t>
            </w:r>
          </w:p>
          <w:p w14:paraId="04B4247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6.其他不宜适用小额诉讼的程序审理的案件</w:t>
            </w:r>
          </w:p>
        </w:tc>
      </w:tr>
      <w:tr w14:paraId="631D0A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6A1CA22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举证期限</w:t>
            </w:r>
          </w:p>
        </w:tc>
        <w:tc>
          <w:tcPr>
            <w:tcW w:w="4189" w:type="pct"/>
            <w:tcBorders>
              <w:tl2br w:val="nil"/>
              <w:tr2bl w:val="nil"/>
            </w:tcBorders>
          </w:tcPr>
          <w:p w14:paraId="5FC715C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当事人约定或者法院指定，</w:t>
            </w:r>
            <w:r>
              <w:rPr>
                <w:rFonts w:hint="eastAsia" w:ascii="楷体" w:hAnsi="楷体" w:eastAsia="楷体" w:cs="楷体"/>
                <w:color w:val="FF0000"/>
                <w:vertAlign w:val="baseline"/>
                <w:lang w:val="en-US" w:eastAsia="zh-CN"/>
              </w:rPr>
              <w:t>不得超过15天</w:t>
            </w:r>
          </w:p>
        </w:tc>
      </w:tr>
      <w:tr w14:paraId="16BED3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12FA4FC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审限</w:t>
            </w:r>
          </w:p>
        </w:tc>
        <w:tc>
          <w:tcPr>
            <w:tcW w:w="4189" w:type="pct"/>
            <w:tcBorders>
              <w:tl2br w:val="nil"/>
              <w:tr2bl w:val="nil"/>
            </w:tcBorders>
          </w:tcPr>
          <w:p w14:paraId="310F1BB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应当在立案之日起</w:t>
            </w:r>
            <w:r>
              <w:rPr>
                <w:rFonts w:hint="eastAsia" w:ascii="楷体" w:hAnsi="楷体" w:eastAsia="楷体" w:cs="楷体"/>
                <w:color w:val="FF0000"/>
                <w:vertAlign w:val="baseline"/>
                <w:lang w:val="en-US" w:eastAsia="zh-CN"/>
              </w:rPr>
              <w:t>两个月内</w:t>
            </w:r>
            <w:r>
              <w:rPr>
                <w:rFonts w:hint="eastAsia" w:ascii="楷体" w:hAnsi="楷体" w:eastAsia="楷体" w:cs="楷体"/>
                <w:vertAlign w:val="baseline"/>
                <w:lang w:val="en-US" w:eastAsia="zh-CN"/>
              </w:rPr>
              <w:t>审结，有特殊情况需要延长的，经本院院长批准，可以延长一个月</w:t>
            </w:r>
          </w:p>
        </w:tc>
      </w:tr>
    </w:tbl>
    <w:p w14:paraId="569C1B35">
      <w:pPr>
        <w:bidi w:val="0"/>
        <w:rPr>
          <w:rFonts w:hint="eastAsia" w:ascii="楷体" w:hAnsi="楷体" w:eastAsia="楷体" w:cs="楷体"/>
          <w:lang w:val="en-US" w:eastAsia="zh-CN"/>
        </w:rPr>
      </w:pPr>
    </w:p>
    <w:p w14:paraId="22C5C476">
      <w:pPr>
        <w:rPr>
          <w:rFonts w:hint="eastAsia" w:ascii="楷体" w:hAnsi="楷体" w:eastAsia="楷体" w:cs="楷体"/>
          <w:lang w:val="en-US" w:eastAsia="zh-CN"/>
        </w:rPr>
      </w:pPr>
    </w:p>
    <w:p w14:paraId="4A11E4C8">
      <w:pPr>
        <w:pStyle w:val="3"/>
        <w:bidi w:val="0"/>
        <w:rPr>
          <w:rFonts w:hint="eastAsia" w:ascii="楷体" w:hAnsi="楷体" w:eastAsia="楷体" w:cs="楷体"/>
          <w:lang w:val="en-US" w:eastAsia="zh-CN"/>
        </w:rPr>
      </w:pPr>
      <w:bookmarkStart w:id="33" w:name="_Toc2270"/>
      <w:bookmarkStart w:id="34" w:name="_Toc30121"/>
      <w:bookmarkStart w:id="35" w:name="_Toc4150"/>
      <w:r>
        <w:rPr>
          <w:rFonts w:hint="eastAsia" w:ascii="楷体" w:hAnsi="楷体" w:eastAsia="楷体" w:cs="楷体"/>
          <w:lang w:val="en-US" w:eastAsia="zh-CN"/>
        </w:rPr>
        <w:t>专题十二 第二审程序</w:t>
      </w:r>
      <w:bookmarkEnd w:id="33"/>
      <w:bookmarkEnd w:id="34"/>
      <w:bookmarkEnd w:id="35"/>
    </w:p>
    <w:p w14:paraId="343DC4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考点28：上诉</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1"/>
        <w:gridCol w:w="7141"/>
      </w:tblGrid>
      <w:tr w14:paraId="77A141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10" w:type="pct"/>
            <w:tcBorders>
              <w:tl2br w:val="nil"/>
              <w:tr2bl w:val="nil"/>
            </w:tcBorders>
            <w:vAlign w:val="center"/>
          </w:tcPr>
          <w:p w14:paraId="28AD85D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对象</w:t>
            </w:r>
          </w:p>
        </w:tc>
        <w:tc>
          <w:tcPr>
            <w:tcW w:w="4189" w:type="pct"/>
            <w:tcBorders>
              <w:tl2br w:val="nil"/>
              <w:tr2bl w:val="nil"/>
            </w:tcBorders>
          </w:tcPr>
          <w:p w14:paraId="11BF0F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判决：送达之日起15日；裁定：送达之日起10日</w:t>
            </w:r>
          </w:p>
        </w:tc>
      </w:tr>
      <w:tr w14:paraId="116844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148C09D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4189" w:type="pct"/>
            <w:tcBorders>
              <w:tl2br w:val="nil"/>
              <w:tr2bl w:val="nil"/>
            </w:tcBorders>
          </w:tcPr>
          <w:p w14:paraId="26CB993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上一级法院</w:t>
            </w:r>
          </w:p>
        </w:tc>
      </w:tr>
      <w:tr w14:paraId="57D820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7658651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主体</w:t>
            </w:r>
          </w:p>
        </w:tc>
        <w:tc>
          <w:tcPr>
            <w:tcW w:w="4189" w:type="pct"/>
            <w:tcBorders>
              <w:tl2br w:val="nil"/>
              <w:tr2bl w:val="nil"/>
            </w:tcBorders>
          </w:tcPr>
          <w:p w14:paraId="1C1CB77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一审当事人，具体如下：</w:t>
            </w:r>
          </w:p>
          <w:p w14:paraId="2326D86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1.一审原告和被告可以上诉</w:t>
            </w:r>
          </w:p>
          <w:p w14:paraId="6F1A35E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2.有独立请求权第三人可以作为上诉人和被上诉人</w:t>
            </w:r>
          </w:p>
          <w:p w14:paraId="2846C5A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3.无</w:t>
            </w:r>
            <w:r>
              <w:rPr>
                <w:rFonts w:hint="eastAsia" w:ascii="楷体" w:hAnsi="楷体" w:eastAsia="楷体" w:cs="楷体"/>
                <w:color w:val="FF0000"/>
                <w:vertAlign w:val="baseline"/>
                <w:lang w:val="en-US" w:eastAsia="zh-CN"/>
              </w:rPr>
              <w:t>独立请求权第三人只有被判决承担责任才有权上诉</w:t>
            </w:r>
          </w:p>
          <w:p w14:paraId="7CBC63F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4.委托代理人上诉时必须获得特别授权</w:t>
            </w:r>
          </w:p>
        </w:tc>
      </w:tr>
      <w:tr w14:paraId="05E37B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7003BDA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形式</w:t>
            </w:r>
          </w:p>
        </w:tc>
        <w:tc>
          <w:tcPr>
            <w:tcW w:w="4189" w:type="pct"/>
            <w:tcBorders>
              <w:tl2br w:val="nil"/>
              <w:tr2bl w:val="nil"/>
            </w:tcBorders>
          </w:tcPr>
          <w:p w14:paraId="2DBECDB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书面</w:t>
            </w:r>
          </w:p>
        </w:tc>
      </w:tr>
      <w:tr w14:paraId="33DC93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2AE2A61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期限</w:t>
            </w:r>
          </w:p>
        </w:tc>
        <w:tc>
          <w:tcPr>
            <w:tcW w:w="4189" w:type="pct"/>
            <w:tcBorders>
              <w:tl2br w:val="nil"/>
              <w:tr2bl w:val="nil"/>
            </w:tcBorders>
          </w:tcPr>
          <w:p w14:paraId="6D0C66F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判决：15日；裁定：10日；</w:t>
            </w:r>
            <w:r>
              <w:rPr>
                <w:rFonts w:hint="eastAsia" w:ascii="楷体" w:hAnsi="楷体" w:eastAsia="楷体" w:cs="楷体"/>
                <w:color w:val="FF0000"/>
                <w:vertAlign w:val="baseline"/>
                <w:lang w:val="en-US" w:eastAsia="zh-CN"/>
              </w:rPr>
              <w:t>涉外案件境内无住所</w:t>
            </w:r>
            <w:r>
              <w:rPr>
                <w:rFonts w:hint="eastAsia" w:ascii="楷体" w:hAnsi="楷体" w:eastAsia="楷体" w:cs="楷体"/>
                <w:vertAlign w:val="baseline"/>
                <w:lang w:val="en-US" w:eastAsia="zh-CN"/>
              </w:rPr>
              <w:t>的：30日</w:t>
            </w:r>
          </w:p>
        </w:tc>
      </w:tr>
      <w:tr w14:paraId="344A36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vMerge w:val="restart"/>
            <w:tcBorders>
              <w:tl2br w:val="nil"/>
              <w:tr2bl w:val="nil"/>
            </w:tcBorders>
            <w:vAlign w:val="center"/>
          </w:tcPr>
          <w:p w14:paraId="1130841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上诉人、被上诉人</w:t>
            </w:r>
          </w:p>
        </w:tc>
        <w:tc>
          <w:tcPr>
            <w:tcW w:w="4189" w:type="pct"/>
            <w:tcBorders>
              <w:tl2br w:val="nil"/>
              <w:tr2bl w:val="nil"/>
            </w:tcBorders>
          </w:tcPr>
          <w:p w14:paraId="3A438B9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通常的案件：</w:t>
            </w:r>
          </w:p>
          <w:p w14:paraId="6D7D0B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1.提起上诉的人是上诉人，没有提起上诉是被上诉人</w:t>
            </w:r>
          </w:p>
          <w:p w14:paraId="4244EC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2.双方当事人和第三人都提出上诉的，均为上诉人</w:t>
            </w:r>
          </w:p>
        </w:tc>
      </w:tr>
      <w:tr w14:paraId="757502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vMerge w:val="continue"/>
            <w:tcBorders>
              <w:tl2br w:val="nil"/>
              <w:tr2bl w:val="nil"/>
            </w:tcBorders>
            <w:vAlign w:val="center"/>
          </w:tcPr>
          <w:p w14:paraId="2CEE2B9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189" w:type="pct"/>
            <w:tcBorders>
              <w:tl2br w:val="nil"/>
              <w:tr2bl w:val="nil"/>
            </w:tcBorders>
          </w:tcPr>
          <w:p w14:paraId="41F9FB9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必要共同诉讼：谁不服谁是上诉人，对谁不服谁是被上诉人，</w:t>
            </w:r>
            <w:r>
              <w:rPr>
                <w:rFonts w:hint="eastAsia" w:ascii="楷体" w:hAnsi="楷体" w:eastAsia="楷体" w:cs="楷体"/>
                <w:color w:val="FF0000"/>
                <w:vertAlign w:val="baseline"/>
                <w:lang w:val="en-US" w:eastAsia="zh-CN"/>
              </w:rPr>
              <w:t>不涉及的依原审诉讼地位列明</w:t>
            </w:r>
          </w:p>
        </w:tc>
      </w:tr>
      <w:tr w14:paraId="081EEF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3CC7EB5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受理</w:t>
            </w:r>
          </w:p>
        </w:tc>
        <w:tc>
          <w:tcPr>
            <w:tcW w:w="4189" w:type="pct"/>
            <w:tcBorders>
              <w:tl2br w:val="nil"/>
              <w:tr2bl w:val="nil"/>
            </w:tcBorders>
          </w:tcPr>
          <w:p w14:paraId="6FF40D7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提起上诉</w:t>
            </w:r>
            <w:r>
              <w:rPr>
                <w:rFonts w:hint="eastAsia" w:ascii="楷体" w:hAnsi="楷体" w:eastAsia="楷体" w:cs="楷体"/>
                <w:color w:val="FF0000"/>
                <w:vertAlign w:val="baseline"/>
                <w:lang w:val="en-US" w:eastAsia="zh-CN"/>
              </w:rPr>
              <w:t>原则上应通过原审人民法院</w:t>
            </w:r>
            <w:r>
              <w:rPr>
                <w:rFonts w:hint="eastAsia" w:ascii="楷体" w:hAnsi="楷体" w:eastAsia="楷体" w:cs="楷体"/>
                <w:vertAlign w:val="baseline"/>
                <w:lang w:val="en-US" w:eastAsia="zh-CN"/>
              </w:rPr>
              <w:t>，也可以直接向上一级人民法院提起上诉</w:t>
            </w:r>
          </w:p>
        </w:tc>
      </w:tr>
      <w:tr w14:paraId="2D411D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213DE32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撤回</w:t>
            </w:r>
          </w:p>
        </w:tc>
        <w:tc>
          <w:tcPr>
            <w:tcW w:w="4189" w:type="pct"/>
            <w:tcBorders>
              <w:tl2br w:val="nil"/>
              <w:tr2bl w:val="nil"/>
            </w:tcBorders>
          </w:tcPr>
          <w:p w14:paraId="2133497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1.在上诉期内上诉人撤回上诉后，</w:t>
            </w:r>
            <w:r>
              <w:rPr>
                <w:rFonts w:hint="eastAsia" w:ascii="楷体" w:hAnsi="楷体" w:eastAsia="楷体" w:cs="楷体"/>
                <w:color w:val="FF0000"/>
                <w:vertAlign w:val="baseline"/>
                <w:lang w:val="en-US" w:eastAsia="zh-CN"/>
              </w:rPr>
              <w:t>不得再次上诉</w:t>
            </w:r>
            <w:r>
              <w:rPr>
                <w:rFonts w:hint="eastAsia" w:ascii="楷体" w:hAnsi="楷体" w:eastAsia="楷体" w:cs="楷体"/>
                <w:vertAlign w:val="baseline"/>
                <w:lang w:val="en-US" w:eastAsia="zh-CN"/>
              </w:rPr>
              <w:t>；但判决是否生效需取决于其他当事人在上诉期内是否上诉</w:t>
            </w:r>
          </w:p>
          <w:p w14:paraId="6077FB7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2.在二审审理过程中，上诉人撤回上诉，法院裁定准许后，</w:t>
            </w:r>
            <w:r>
              <w:rPr>
                <w:rFonts w:hint="eastAsia" w:ascii="楷体" w:hAnsi="楷体" w:eastAsia="楷体" w:cs="楷体"/>
                <w:color w:val="FF0000"/>
                <w:vertAlign w:val="baseline"/>
                <w:lang w:val="en-US" w:eastAsia="zh-CN"/>
              </w:rPr>
              <w:t>一审判决即生效</w:t>
            </w:r>
          </w:p>
          <w:p w14:paraId="061B6E9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3.经审查认为一审判决确有错误，或者双方当事人串通损害国家和集体利益、社会公共利益及他人合法权益的，</w:t>
            </w:r>
            <w:r>
              <w:rPr>
                <w:rFonts w:hint="eastAsia" w:ascii="楷体" w:hAnsi="楷体" w:eastAsia="楷体" w:cs="楷体"/>
                <w:color w:val="FF0000"/>
                <w:vertAlign w:val="baseline"/>
                <w:lang w:val="en-US" w:eastAsia="zh-CN"/>
              </w:rPr>
              <w:t>不应准许</w:t>
            </w:r>
          </w:p>
        </w:tc>
      </w:tr>
    </w:tbl>
    <w:p w14:paraId="511065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知识点29：二审审理</w:t>
      </w:r>
    </w:p>
    <w:tbl>
      <w:tblPr>
        <w:tblStyle w:val="12"/>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04"/>
        <w:gridCol w:w="7216"/>
      </w:tblGrid>
      <w:tr w14:paraId="2A1E09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5" w:type="pct"/>
            <w:tcBorders>
              <w:tl2br w:val="nil"/>
              <w:tr2bl w:val="nil"/>
            </w:tcBorders>
            <w:vAlign w:val="center"/>
          </w:tcPr>
          <w:p w14:paraId="0D92B4D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审判组织</w:t>
            </w:r>
          </w:p>
        </w:tc>
        <w:tc>
          <w:tcPr>
            <w:tcW w:w="4234" w:type="pct"/>
            <w:tcBorders>
              <w:tl2br w:val="nil"/>
              <w:tr2bl w:val="nil"/>
            </w:tcBorders>
          </w:tcPr>
          <w:p w14:paraId="505AF9F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原则上由审判员组成</w:t>
            </w:r>
            <w:r>
              <w:rPr>
                <w:rFonts w:hint="eastAsia" w:ascii="楷体" w:hAnsi="楷体" w:eastAsia="楷体" w:cs="楷体"/>
                <w:color w:val="FF0000"/>
                <w:vertAlign w:val="baseline"/>
                <w:lang w:val="en-US" w:eastAsia="zh-CN"/>
              </w:rPr>
              <w:t>合议庭</w:t>
            </w:r>
            <w:r>
              <w:rPr>
                <w:rFonts w:hint="eastAsia" w:ascii="楷体" w:hAnsi="楷体" w:eastAsia="楷体" w:cs="楷体"/>
                <w:vertAlign w:val="baseline"/>
                <w:lang w:val="en-US" w:eastAsia="zh-CN"/>
              </w:rPr>
              <w:t>审理，但中级人民法院对第一审适用简易程序审结或者不服裁定提起上诉的第二审民事案件，事实清楚、权利义务关系明确的，经双方当事人同意，可以由审判员一人</w:t>
            </w:r>
            <w:r>
              <w:rPr>
                <w:rFonts w:hint="eastAsia" w:ascii="楷体" w:hAnsi="楷体" w:eastAsia="楷体" w:cs="楷体"/>
                <w:color w:val="FF0000"/>
                <w:vertAlign w:val="baseline"/>
                <w:lang w:val="en-US" w:eastAsia="zh-CN"/>
              </w:rPr>
              <w:t>独任审理</w:t>
            </w:r>
          </w:p>
        </w:tc>
      </w:tr>
      <w:tr w14:paraId="35A58B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5" w:type="pct"/>
            <w:tcBorders>
              <w:tl2br w:val="nil"/>
              <w:tr2bl w:val="nil"/>
            </w:tcBorders>
            <w:vAlign w:val="center"/>
          </w:tcPr>
          <w:p w14:paraId="5B833ED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审理形式</w:t>
            </w:r>
          </w:p>
        </w:tc>
        <w:tc>
          <w:tcPr>
            <w:tcW w:w="4234" w:type="pct"/>
            <w:tcBorders>
              <w:tl2br w:val="nil"/>
              <w:tr2bl w:val="nil"/>
            </w:tcBorders>
          </w:tcPr>
          <w:p w14:paraId="0D4B22F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原则上应当开庭审理</w:t>
            </w:r>
            <w:r>
              <w:rPr>
                <w:rFonts w:hint="eastAsia" w:ascii="楷体" w:hAnsi="楷体" w:eastAsia="楷体" w:cs="楷体"/>
                <w:vertAlign w:val="baseline"/>
                <w:lang w:val="en-US" w:eastAsia="zh-CN"/>
              </w:rPr>
              <w:t>，但如下4种情形可以不开庭审理：</w:t>
            </w:r>
          </w:p>
          <w:p w14:paraId="7B60C7E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1.一审就不予受理、驳回起诉和管辖权异议作出裁定的案件</w:t>
            </w:r>
          </w:p>
          <w:p w14:paraId="1B5E83E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2.当事人提出的上诉请求明显不能成立的案件</w:t>
            </w:r>
          </w:p>
          <w:p w14:paraId="0DB5E33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3.原审裁判认定事实清楚，但适用法律错误的案件</w:t>
            </w:r>
          </w:p>
          <w:p w14:paraId="0C51562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4.原判决违反法定程序，可能影响案件正确判决，需要发回重审的案件</w:t>
            </w:r>
          </w:p>
        </w:tc>
      </w:tr>
      <w:tr w14:paraId="29F828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15" w:hRule="atLeast"/>
        </w:trPr>
        <w:tc>
          <w:tcPr>
            <w:tcW w:w="765" w:type="pct"/>
            <w:tcBorders>
              <w:tl2br w:val="nil"/>
              <w:tr2bl w:val="nil"/>
            </w:tcBorders>
            <w:vAlign w:val="center"/>
          </w:tcPr>
          <w:p w14:paraId="40A1BEF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有限审查</w:t>
            </w:r>
          </w:p>
        </w:tc>
        <w:tc>
          <w:tcPr>
            <w:tcW w:w="4234" w:type="pct"/>
            <w:tcBorders>
              <w:tl2br w:val="nil"/>
              <w:tr2bl w:val="nil"/>
            </w:tcBorders>
          </w:tcPr>
          <w:p w14:paraId="1155568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1.仅限于对上诉请求有关的事实和法律进行审查――例外：违反法律的禁止性规定</w:t>
            </w:r>
          </w:p>
          <w:p w14:paraId="719CAE1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2.被上诉人在答辩中要求变更或者补充第一审判决内容的，第二审人民法院可以不予审查</w:t>
            </w:r>
          </w:p>
        </w:tc>
      </w:tr>
    </w:tbl>
    <w:p w14:paraId="71D485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知识点30：二审调解</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76"/>
        <w:gridCol w:w="7046"/>
      </w:tblGrid>
      <w:tr w14:paraId="3E9674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866" w:type="pct"/>
            <w:tcBorders>
              <w:tl2br w:val="nil"/>
              <w:tr2bl w:val="nil"/>
            </w:tcBorders>
            <w:vAlign w:val="center"/>
          </w:tcPr>
          <w:p w14:paraId="747B94A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调解不成的，发回重审</w:t>
            </w:r>
          </w:p>
        </w:tc>
        <w:tc>
          <w:tcPr>
            <w:tcW w:w="4133" w:type="pct"/>
            <w:tcBorders>
              <w:tl2br w:val="nil"/>
              <w:tr2bl w:val="nil"/>
            </w:tcBorders>
          </w:tcPr>
          <w:p w14:paraId="6BF5104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1.一审中已经提出的诉讼请求，原审人民法院</w:t>
            </w:r>
            <w:r>
              <w:rPr>
                <w:rFonts w:hint="eastAsia" w:ascii="楷体" w:hAnsi="楷体" w:eastAsia="楷体" w:cs="楷体"/>
                <w:color w:val="FF0000"/>
                <w:vertAlign w:val="baseline"/>
                <w:lang w:val="en-US" w:eastAsia="zh-CN"/>
              </w:rPr>
              <w:t>未作审理、判决的</w:t>
            </w:r>
            <w:r>
              <w:rPr>
                <w:rFonts w:hint="eastAsia" w:ascii="楷体" w:hAnsi="楷体" w:eastAsia="楷体" w:cs="楷体"/>
                <w:vertAlign w:val="baseline"/>
                <w:lang w:val="en-US" w:eastAsia="zh-CN"/>
              </w:rPr>
              <w:t>，调解不成的，发回重审</w:t>
            </w:r>
          </w:p>
          <w:p w14:paraId="61C49FF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2.必须参加诉讼的当事人或者有独立请求权的第三人</w:t>
            </w:r>
            <w:r>
              <w:rPr>
                <w:rFonts w:hint="eastAsia" w:ascii="楷体" w:hAnsi="楷体" w:eastAsia="楷体" w:cs="楷体"/>
                <w:color w:val="FF0000"/>
                <w:vertAlign w:val="baseline"/>
                <w:lang w:val="en-US" w:eastAsia="zh-CN"/>
              </w:rPr>
              <w:t>在一审中未参加诉讼</w:t>
            </w:r>
            <w:r>
              <w:rPr>
                <w:rFonts w:hint="eastAsia" w:ascii="楷体" w:hAnsi="楷体" w:eastAsia="楷体" w:cs="楷体"/>
                <w:vertAlign w:val="baseline"/>
                <w:lang w:val="en-US" w:eastAsia="zh-CN"/>
              </w:rPr>
              <w:t>，调解不成的，发回重审</w:t>
            </w:r>
          </w:p>
          <w:p w14:paraId="5A4C607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.一审判决不准离婚的案件</w:t>
            </w:r>
            <w:r>
              <w:rPr>
                <w:rFonts w:hint="eastAsia" w:ascii="楷体" w:hAnsi="楷体" w:eastAsia="楷体" w:cs="楷体"/>
                <w:vertAlign w:val="baseline"/>
                <w:lang w:val="en-US" w:eastAsia="zh-CN"/>
              </w:rPr>
              <w:t>，上诉后，第二审人民法院认为应当判决离婚的，可以根据当事人自愿的原则，与子女抚养、财产问题一并调解，调解不成的，发回重审。若双方当事人同意由第二审法院一并审理的，二审法院可以一并裁判</w:t>
            </w:r>
          </w:p>
        </w:tc>
      </w:tr>
      <w:tr w14:paraId="276733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66" w:type="pct"/>
            <w:tcBorders>
              <w:tl2br w:val="nil"/>
              <w:tr2bl w:val="nil"/>
            </w:tcBorders>
            <w:vAlign w:val="center"/>
          </w:tcPr>
          <w:p w14:paraId="2FB3FE2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调解不成的，告知当事人另行起诉</w:t>
            </w:r>
          </w:p>
        </w:tc>
        <w:tc>
          <w:tcPr>
            <w:tcW w:w="4133" w:type="pct"/>
            <w:tcBorders>
              <w:tl2br w:val="nil"/>
              <w:tr2bl w:val="nil"/>
            </w:tcBorders>
          </w:tcPr>
          <w:p w14:paraId="5D3D606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1.在第二审程序中，</w:t>
            </w:r>
            <w:r>
              <w:rPr>
                <w:rFonts w:hint="eastAsia" w:ascii="楷体" w:hAnsi="楷体" w:eastAsia="楷体" w:cs="楷体"/>
                <w:color w:val="FF0000"/>
                <w:vertAlign w:val="baseline"/>
                <w:lang w:val="en-US" w:eastAsia="zh-CN"/>
              </w:rPr>
              <w:t>原审原告增加独立的诉讼请求</w:t>
            </w:r>
            <w:r>
              <w:rPr>
                <w:rFonts w:hint="eastAsia" w:ascii="楷体" w:hAnsi="楷体" w:eastAsia="楷体" w:cs="楷体"/>
                <w:vertAlign w:val="baseline"/>
                <w:lang w:val="en-US" w:eastAsia="zh-CN"/>
              </w:rPr>
              <w:t>，就新增加的诉讼请求进行调解，调解不成的，告知当事人另行起诉</w:t>
            </w:r>
          </w:p>
          <w:p w14:paraId="441D122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2.在第二审程序中，</w:t>
            </w:r>
            <w:r>
              <w:rPr>
                <w:rFonts w:hint="eastAsia" w:ascii="楷体" w:hAnsi="楷体" w:eastAsia="楷体" w:cs="楷体"/>
                <w:color w:val="FF0000"/>
                <w:vertAlign w:val="baseline"/>
                <w:lang w:val="en-US" w:eastAsia="zh-CN"/>
              </w:rPr>
              <w:t>原审被告提出反诉</w:t>
            </w:r>
            <w:r>
              <w:rPr>
                <w:rFonts w:hint="eastAsia" w:ascii="楷体" w:hAnsi="楷体" w:eastAsia="楷体" w:cs="楷体"/>
                <w:vertAlign w:val="baseline"/>
                <w:lang w:val="en-US" w:eastAsia="zh-CN"/>
              </w:rPr>
              <w:t>，就反诉进行调解，调解不成的，告知当事人另行起诉；调解成功的，应当制作调解书，调解书送达签收后，原审人民法院的判决即视为撤销。</w:t>
            </w:r>
          </w:p>
        </w:tc>
      </w:tr>
    </w:tbl>
    <w:p w14:paraId="2E4A03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知识点31：二审裁判</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69"/>
        <w:gridCol w:w="6553"/>
      </w:tblGrid>
      <w:tr w14:paraId="715315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55" w:type="pct"/>
            <w:tcBorders>
              <w:tl2br w:val="nil"/>
              <w:tr2bl w:val="nil"/>
            </w:tcBorders>
            <w:vAlign w:val="center"/>
          </w:tcPr>
          <w:p w14:paraId="7003AC4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判决/裁定：</w:t>
            </w:r>
            <w:r>
              <w:rPr>
                <w:rFonts w:hint="eastAsia" w:ascii="楷体" w:hAnsi="楷体" w:eastAsia="楷体" w:cs="楷体"/>
                <w:b/>
                <w:bCs/>
                <w:color w:val="E56437"/>
                <w:sz w:val="24"/>
                <w:szCs w:val="24"/>
                <w:lang w:val="en-US" w:eastAsia="zh-CN"/>
              </w:rPr>
              <w:br w:type="textWrapping"/>
            </w:r>
            <w:r>
              <w:rPr>
                <w:rFonts w:hint="eastAsia" w:ascii="楷体" w:hAnsi="楷体" w:eastAsia="楷体" w:cs="楷体"/>
                <w:b/>
                <w:bCs/>
                <w:color w:val="E56437"/>
                <w:sz w:val="24"/>
                <w:szCs w:val="24"/>
                <w:lang w:val="en-US" w:eastAsia="zh-CN"/>
              </w:rPr>
              <w:t>驳回上诉，维持原判/裁定</w:t>
            </w:r>
          </w:p>
        </w:tc>
        <w:tc>
          <w:tcPr>
            <w:tcW w:w="3844" w:type="pct"/>
            <w:tcBorders>
              <w:tl2br w:val="nil"/>
              <w:tr2bl w:val="nil"/>
            </w:tcBorders>
          </w:tcPr>
          <w:p w14:paraId="3FA8852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1.原判决、裁定</w:t>
            </w:r>
            <w:r>
              <w:rPr>
                <w:rFonts w:hint="eastAsia" w:ascii="楷体" w:hAnsi="楷体" w:eastAsia="楷体" w:cs="楷体"/>
                <w:color w:val="FF0000"/>
                <w:vertAlign w:val="baseline"/>
                <w:lang w:val="en-US" w:eastAsia="zh-CN"/>
              </w:rPr>
              <w:t>认定事实清楚，适用法律正确的</w:t>
            </w:r>
          </w:p>
          <w:p w14:paraId="7B89C97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2.原判决、裁定认定事实或者适用法律虽有瑕疵，</w:t>
            </w:r>
            <w:r>
              <w:rPr>
                <w:rFonts w:hint="eastAsia" w:ascii="楷体" w:hAnsi="楷体" w:eastAsia="楷体" w:cs="楷体"/>
                <w:color w:val="FF0000"/>
                <w:vertAlign w:val="baseline"/>
                <w:lang w:val="en-US" w:eastAsia="zh-CN"/>
              </w:rPr>
              <w:t>但裁判结果正确</w:t>
            </w:r>
            <w:r>
              <w:rPr>
                <w:rFonts w:hint="eastAsia" w:ascii="楷体" w:hAnsi="楷体" w:eastAsia="楷体" w:cs="楷体"/>
                <w:vertAlign w:val="baseline"/>
                <w:lang w:val="en-US" w:eastAsia="zh-CN"/>
              </w:rPr>
              <w:t>的，第二审人民法院可以在判决、裁定中纠正瑕疵后，予以维持</w:t>
            </w:r>
          </w:p>
        </w:tc>
      </w:tr>
      <w:tr w14:paraId="479D8B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55" w:type="pct"/>
            <w:vMerge w:val="restart"/>
            <w:tcBorders>
              <w:tl2br w:val="nil"/>
              <w:tr2bl w:val="nil"/>
            </w:tcBorders>
            <w:vAlign w:val="center"/>
          </w:tcPr>
          <w:p w14:paraId="1C3F4F2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判决+裁定：</w:t>
            </w:r>
            <w:r>
              <w:rPr>
                <w:rFonts w:hint="eastAsia" w:ascii="楷体" w:hAnsi="楷体" w:eastAsia="楷体" w:cs="楷体"/>
                <w:b/>
                <w:bCs/>
                <w:color w:val="E56437"/>
                <w:sz w:val="24"/>
                <w:szCs w:val="24"/>
                <w:lang w:val="en-US" w:eastAsia="zh-CN"/>
              </w:rPr>
              <w:br w:type="textWrapping"/>
            </w:r>
            <w:r>
              <w:rPr>
                <w:rFonts w:hint="eastAsia" w:ascii="楷体" w:hAnsi="楷体" w:eastAsia="楷体" w:cs="楷体"/>
                <w:b/>
                <w:bCs/>
                <w:color w:val="E56437"/>
                <w:sz w:val="24"/>
                <w:szCs w:val="24"/>
                <w:lang w:val="en-US" w:eastAsia="zh-CN"/>
              </w:rPr>
              <w:t>依法改判、撤销或变更</w:t>
            </w:r>
          </w:p>
        </w:tc>
        <w:tc>
          <w:tcPr>
            <w:tcW w:w="3844" w:type="pct"/>
            <w:tcBorders>
              <w:tl2br w:val="nil"/>
              <w:tr2bl w:val="nil"/>
            </w:tcBorders>
          </w:tcPr>
          <w:p w14:paraId="7780643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原裁判适用法律错误、认定事实错误的</w:t>
            </w:r>
            <w:r>
              <w:rPr>
                <w:rFonts w:hint="eastAsia" w:ascii="楷体" w:hAnsi="楷体" w:eastAsia="楷体" w:cs="楷体"/>
                <w:color w:val="FF0000"/>
                <w:vertAlign w:val="baseline"/>
                <w:lang w:val="en-US" w:eastAsia="zh-CN"/>
              </w:rPr>
              <w:t>（应当改判）</w:t>
            </w:r>
          </w:p>
        </w:tc>
      </w:tr>
      <w:tr w14:paraId="42BC8B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12" w:hRule="atLeast"/>
        </w:trPr>
        <w:tc>
          <w:tcPr>
            <w:tcW w:w="1155" w:type="pct"/>
            <w:vMerge w:val="continue"/>
            <w:tcBorders>
              <w:tl2br w:val="nil"/>
              <w:tr2bl w:val="nil"/>
            </w:tcBorders>
            <w:vAlign w:val="center"/>
          </w:tcPr>
          <w:p w14:paraId="4DF24AC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3844" w:type="pct"/>
            <w:vMerge w:val="restart"/>
            <w:tcBorders>
              <w:tl2br w:val="nil"/>
              <w:tr2bl w:val="nil"/>
            </w:tcBorders>
            <w:vAlign w:val="center"/>
          </w:tcPr>
          <w:p w14:paraId="2AE601F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原判决认定基本事实不清的</w:t>
            </w:r>
            <w:r>
              <w:rPr>
                <w:rFonts w:hint="eastAsia" w:ascii="楷体" w:hAnsi="楷体" w:eastAsia="楷体" w:cs="楷体"/>
                <w:color w:val="FF0000"/>
                <w:vertAlign w:val="baseline"/>
                <w:lang w:val="en-US" w:eastAsia="zh-CN"/>
              </w:rPr>
              <w:t>（可以改判，也可以发回重审）</w:t>
            </w:r>
          </w:p>
        </w:tc>
      </w:tr>
      <w:tr w14:paraId="51BA6B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12" w:hRule="atLeast"/>
        </w:trPr>
        <w:tc>
          <w:tcPr>
            <w:tcW w:w="1155" w:type="pct"/>
            <w:vMerge w:val="restart"/>
            <w:tcBorders>
              <w:tl2br w:val="nil"/>
              <w:tr2bl w:val="nil"/>
            </w:tcBorders>
            <w:vAlign w:val="center"/>
          </w:tcPr>
          <w:p w14:paraId="7C1F3E0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裁定：</w:t>
            </w:r>
            <w:r>
              <w:rPr>
                <w:rFonts w:hint="eastAsia" w:ascii="楷体" w:hAnsi="楷体" w:eastAsia="楷体" w:cs="楷体"/>
                <w:b/>
                <w:bCs/>
                <w:color w:val="E56437"/>
                <w:sz w:val="24"/>
                <w:szCs w:val="24"/>
                <w:lang w:val="en-US" w:eastAsia="zh-CN"/>
              </w:rPr>
              <w:br w:type="textWrapping"/>
            </w:r>
            <w:r>
              <w:rPr>
                <w:rFonts w:hint="eastAsia" w:ascii="楷体" w:hAnsi="楷体" w:eastAsia="楷体" w:cs="楷体"/>
                <w:b/>
                <w:bCs/>
                <w:color w:val="E56437"/>
                <w:sz w:val="24"/>
                <w:szCs w:val="24"/>
                <w:lang w:val="en-US" w:eastAsia="zh-CN"/>
              </w:rPr>
              <w:t>发回重审</w:t>
            </w:r>
          </w:p>
          <w:p w14:paraId="26E875B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（一次为限）</w:t>
            </w:r>
          </w:p>
        </w:tc>
        <w:tc>
          <w:tcPr>
            <w:tcW w:w="3844" w:type="pct"/>
            <w:vMerge w:val="continue"/>
            <w:tcBorders>
              <w:tl2br w:val="nil"/>
              <w:tr2bl w:val="nil"/>
            </w:tcBorders>
          </w:tcPr>
          <w:p w14:paraId="59A037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p>
        </w:tc>
      </w:tr>
      <w:tr w14:paraId="483E74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55" w:type="pct"/>
            <w:vMerge w:val="continue"/>
            <w:tcBorders>
              <w:tl2br w:val="nil"/>
              <w:tr2bl w:val="nil"/>
            </w:tcBorders>
            <w:vAlign w:val="center"/>
          </w:tcPr>
          <w:p w14:paraId="2306872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3844" w:type="pct"/>
            <w:tcBorders>
              <w:tl2br w:val="nil"/>
              <w:tr2bl w:val="nil"/>
            </w:tcBorders>
          </w:tcPr>
          <w:p w14:paraId="63B119E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原判决遗漏当事人；遗漏诉讼请求；应离未离的离婚案件</w:t>
            </w:r>
            <w:r>
              <w:rPr>
                <w:rFonts w:hint="eastAsia" w:ascii="楷体" w:hAnsi="楷体" w:eastAsia="楷体" w:cs="楷体"/>
                <w:color w:val="FF0000"/>
                <w:vertAlign w:val="baseline"/>
                <w:lang w:val="en-US" w:eastAsia="zh-CN"/>
              </w:rPr>
              <w:t>（调解不成，发回重审）</w:t>
            </w:r>
          </w:p>
        </w:tc>
      </w:tr>
      <w:tr w14:paraId="72451E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55" w:type="pct"/>
            <w:vMerge w:val="continue"/>
            <w:tcBorders>
              <w:tl2br w:val="nil"/>
              <w:tr2bl w:val="nil"/>
            </w:tcBorders>
            <w:vAlign w:val="center"/>
          </w:tcPr>
          <w:p w14:paraId="55C3EA5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3844" w:type="pct"/>
            <w:tcBorders>
              <w:tl2br w:val="nil"/>
              <w:tr2bl w:val="nil"/>
            </w:tcBorders>
          </w:tcPr>
          <w:p w14:paraId="5112071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1.严重违反法定程序的：</w:t>
            </w:r>
            <w:r>
              <w:rPr>
                <w:rFonts w:hint="eastAsia" w:ascii="楷体" w:hAnsi="楷体" w:eastAsia="楷体" w:cs="楷体"/>
                <w:color w:val="FF0000"/>
                <w:vertAlign w:val="baseline"/>
                <w:lang w:val="en-US" w:eastAsia="zh-CN"/>
              </w:rPr>
              <w:t>（直接发回重审）</w:t>
            </w:r>
          </w:p>
          <w:p w14:paraId="177560D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2.审判组织的组成不合法的</w:t>
            </w:r>
          </w:p>
          <w:p w14:paraId="5394C17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3.应当回避的审判人员未回避的</w:t>
            </w:r>
          </w:p>
          <w:p w14:paraId="3BB13B5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4.无诉讼行为能力人未经法定代理人代为诉讼的</w:t>
            </w:r>
          </w:p>
          <w:p w14:paraId="3328C8A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5.违法剥夺当事人辩论权利的</w:t>
            </w:r>
          </w:p>
          <w:p w14:paraId="6B95D4E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6.违法缺席判决等</w:t>
            </w:r>
          </w:p>
        </w:tc>
      </w:tr>
      <w:tr w14:paraId="367321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55" w:type="pct"/>
            <w:tcBorders>
              <w:tl2br w:val="nil"/>
              <w:tr2bl w:val="nil"/>
            </w:tcBorders>
            <w:vAlign w:val="center"/>
          </w:tcPr>
          <w:p w14:paraId="245F951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裁定：撤销原判，驳回起诉</w:t>
            </w:r>
          </w:p>
        </w:tc>
        <w:tc>
          <w:tcPr>
            <w:tcW w:w="3844" w:type="pct"/>
            <w:tcBorders>
              <w:tl2br w:val="nil"/>
              <w:tr2bl w:val="nil"/>
            </w:tcBorders>
          </w:tcPr>
          <w:p w14:paraId="5006119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第二审程序审理的案件，认为依法不应由人民法院审理的，可以由第二审人民法院直接裁定撤销原判，</w:t>
            </w:r>
            <w:r>
              <w:rPr>
                <w:rFonts w:hint="eastAsia" w:ascii="楷体" w:hAnsi="楷体" w:eastAsia="楷体" w:cs="楷体"/>
                <w:color w:val="FF0000"/>
                <w:vertAlign w:val="baseline"/>
                <w:lang w:val="en-US" w:eastAsia="zh-CN"/>
              </w:rPr>
              <w:t>驳回起诉</w:t>
            </w:r>
          </w:p>
        </w:tc>
      </w:tr>
    </w:tbl>
    <w:p w14:paraId="54B00169">
      <w:pPr>
        <w:pStyle w:val="3"/>
        <w:bidi w:val="0"/>
        <w:rPr>
          <w:rFonts w:hint="eastAsia" w:ascii="楷体" w:hAnsi="楷体" w:eastAsia="楷体" w:cs="楷体"/>
          <w:lang w:val="en-US" w:eastAsia="zh-CN"/>
        </w:rPr>
      </w:pPr>
      <w:bookmarkStart w:id="36" w:name="_Toc28213"/>
      <w:bookmarkStart w:id="37" w:name="_Toc12270"/>
      <w:bookmarkStart w:id="38" w:name="_Toc23620"/>
      <w:r>
        <w:rPr>
          <w:rFonts w:hint="eastAsia" w:ascii="楷体" w:hAnsi="楷体" w:eastAsia="楷体" w:cs="楷体"/>
          <w:lang w:val="en-US" w:eastAsia="zh-CN"/>
        </w:rPr>
        <w:t>专题十三 再审程序</w:t>
      </w:r>
      <w:bookmarkEnd w:id="36"/>
      <w:bookmarkEnd w:id="37"/>
      <w:bookmarkEnd w:id="38"/>
    </w:p>
    <w:p w14:paraId="6ADFF5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知识点32：法院启动再审</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35"/>
        <w:gridCol w:w="6887"/>
      </w:tblGrid>
      <w:tr w14:paraId="362DCB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959" w:type="pct"/>
            <w:tcBorders>
              <w:tl2br w:val="nil"/>
              <w:tr2bl w:val="nil"/>
            </w:tcBorders>
            <w:vAlign w:val="center"/>
          </w:tcPr>
          <w:p w14:paraId="17AA5B7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本院</w:t>
            </w:r>
          </w:p>
        </w:tc>
        <w:tc>
          <w:tcPr>
            <w:tcW w:w="4040" w:type="pct"/>
            <w:tcBorders>
              <w:tl2br w:val="nil"/>
              <w:tr2bl w:val="nil"/>
            </w:tcBorders>
          </w:tcPr>
          <w:p w14:paraId="198B5A2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各级人民法院院长对本院已经发生法律效力的判决、裁定、调解书，</w:t>
            </w:r>
            <w:r>
              <w:rPr>
                <w:rFonts w:hint="eastAsia" w:ascii="楷体" w:hAnsi="楷体" w:eastAsia="楷体" w:cs="楷体"/>
                <w:color w:val="FF0000"/>
                <w:vertAlign w:val="baseline"/>
                <w:lang w:val="en-US" w:eastAsia="zh-CN"/>
              </w:rPr>
              <w:t>发现确有错误，认为需要再审的</w:t>
            </w:r>
            <w:r>
              <w:rPr>
                <w:rFonts w:hint="eastAsia" w:ascii="楷体" w:hAnsi="楷体" w:eastAsia="楷体" w:cs="楷体"/>
                <w:vertAlign w:val="baseline"/>
                <w:lang w:val="en-US" w:eastAsia="zh-CN"/>
              </w:rPr>
              <w:t>，应当提交审判委员会讨论决定</w:t>
            </w:r>
          </w:p>
        </w:tc>
      </w:tr>
      <w:tr w14:paraId="76179F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59" w:type="pct"/>
            <w:tcBorders>
              <w:tl2br w:val="nil"/>
              <w:tr2bl w:val="nil"/>
            </w:tcBorders>
            <w:vAlign w:val="center"/>
          </w:tcPr>
          <w:p w14:paraId="64D32B5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上级法院</w:t>
            </w:r>
          </w:p>
        </w:tc>
        <w:tc>
          <w:tcPr>
            <w:tcW w:w="4040" w:type="pct"/>
            <w:tcBorders>
              <w:tl2br w:val="nil"/>
              <w:tr2bl w:val="nil"/>
            </w:tcBorders>
          </w:tcPr>
          <w:p w14:paraId="72E6C9D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最高人民法院对地方各级人民法院已经发生法律效力的判决、裁定、调解书，上级人民法院（不是上一级）对下级人民法院已经发生法律效力的判决、裁定、调解书，</w:t>
            </w:r>
            <w:r>
              <w:rPr>
                <w:rFonts w:hint="eastAsia" w:ascii="楷体" w:hAnsi="楷体" w:eastAsia="楷体" w:cs="楷体"/>
                <w:color w:val="FF0000"/>
                <w:vertAlign w:val="baseline"/>
                <w:lang w:val="en-US" w:eastAsia="zh-CN"/>
              </w:rPr>
              <w:t>发现确有错误的，有权提审或者指令下级人民法院再审</w:t>
            </w:r>
          </w:p>
        </w:tc>
      </w:tr>
    </w:tbl>
    <w:p w14:paraId="5D4EF1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知识点33：检察院启动再审</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49"/>
        <w:gridCol w:w="7073"/>
      </w:tblGrid>
      <w:tr w14:paraId="005951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0" w:type="pct"/>
            <w:vMerge w:val="restart"/>
            <w:tcBorders>
              <w:tl2br w:val="nil"/>
              <w:tr2bl w:val="nil"/>
            </w:tcBorders>
            <w:vAlign w:val="center"/>
          </w:tcPr>
          <w:p w14:paraId="754AEF8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启动方式</w:t>
            </w:r>
          </w:p>
        </w:tc>
        <w:tc>
          <w:tcPr>
            <w:tcW w:w="4149" w:type="pct"/>
            <w:tcBorders>
              <w:tl2br w:val="nil"/>
              <w:tr2bl w:val="nil"/>
            </w:tcBorders>
          </w:tcPr>
          <w:p w14:paraId="444C1AD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1.最高检对各级法院，上级检察院对下级法院已经发生效力的判决、裁定，发现有法定情形或者调解书损害国家和社会公共利益的，</w:t>
            </w:r>
            <w:r>
              <w:rPr>
                <w:rFonts w:hint="eastAsia" w:ascii="楷体" w:hAnsi="楷体" w:eastAsia="楷体" w:cs="楷体"/>
                <w:color w:val="FF0000"/>
                <w:vertAlign w:val="baseline"/>
                <w:lang w:val="en-US" w:eastAsia="zh-CN"/>
              </w:rPr>
              <w:t>应当提出抗诉</w:t>
            </w:r>
          </w:p>
        </w:tc>
      </w:tr>
      <w:tr w14:paraId="22FBB7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50" w:type="pct"/>
            <w:vMerge w:val="continue"/>
            <w:tcBorders>
              <w:tl2br w:val="nil"/>
              <w:tr2bl w:val="nil"/>
            </w:tcBorders>
            <w:vAlign w:val="center"/>
          </w:tcPr>
          <w:p w14:paraId="73DDCE7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4149" w:type="pct"/>
            <w:tcBorders>
              <w:tl2br w:val="nil"/>
              <w:tr2bl w:val="nil"/>
            </w:tcBorders>
          </w:tcPr>
          <w:p w14:paraId="766D4B2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2.地方各级检察院发现同级法院已经生效判决、裁定有法定情形之一，或者调解书损害国家利益和社会公共利益的</w:t>
            </w:r>
            <w:r>
              <w:rPr>
                <w:rFonts w:hint="eastAsia" w:ascii="楷体" w:hAnsi="楷体" w:eastAsia="楷体" w:cs="楷体"/>
                <w:color w:val="FF0000"/>
                <w:vertAlign w:val="baseline"/>
                <w:lang w:val="en-US" w:eastAsia="zh-CN"/>
              </w:rPr>
              <w:t>可以向同级法院提出检察建议</w:t>
            </w:r>
            <w:r>
              <w:rPr>
                <w:rFonts w:hint="eastAsia" w:ascii="楷体" w:hAnsi="楷体" w:eastAsia="楷体" w:cs="楷体"/>
                <w:vertAlign w:val="baseline"/>
                <w:lang w:val="en-US" w:eastAsia="zh-CN"/>
              </w:rPr>
              <w:t>，并报上级检察院备案，或者</w:t>
            </w:r>
            <w:r>
              <w:rPr>
                <w:rFonts w:hint="eastAsia" w:ascii="楷体" w:hAnsi="楷体" w:eastAsia="楷体" w:cs="楷体"/>
                <w:color w:val="FF0000"/>
                <w:vertAlign w:val="baseline"/>
                <w:lang w:val="en-US" w:eastAsia="zh-CN"/>
              </w:rPr>
              <w:t>提请上级检察院向同级法院提起抗诉</w:t>
            </w:r>
          </w:p>
        </w:tc>
      </w:tr>
      <w:tr w14:paraId="0B13B7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0" w:hRule="atLeast"/>
        </w:trPr>
        <w:tc>
          <w:tcPr>
            <w:tcW w:w="850" w:type="pct"/>
            <w:tcBorders>
              <w:tl2br w:val="nil"/>
              <w:tr2bl w:val="nil"/>
            </w:tcBorders>
            <w:vAlign w:val="center"/>
          </w:tcPr>
          <w:p w14:paraId="08C3A4D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法定情形</w:t>
            </w:r>
          </w:p>
        </w:tc>
        <w:tc>
          <w:tcPr>
            <w:tcW w:w="4149" w:type="pct"/>
            <w:tcBorders>
              <w:tl2br w:val="nil"/>
              <w:tr2bl w:val="nil"/>
            </w:tcBorders>
          </w:tcPr>
          <w:p w14:paraId="1816939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生效的判决、裁定</w:t>
            </w:r>
          </w:p>
          <w:p w14:paraId="2D4A0E2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（1）有新证据，足以推翻原判决、裁定</w:t>
            </w:r>
          </w:p>
          <w:p w14:paraId="58B2EE9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（2）原判决、裁定认定基本事实缺乏证据支持</w:t>
            </w:r>
          </w:p>
          <w:p w14:paraId="4CDA043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（3）原判决、裁定认定事实主要证据是伪造的</w:t>
            </w:r>
          </w:p>
          <w:p w14:paraId="577D48D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（4）原判决、裁定认定事实的主要证据未经质证</w:t>
            </w:r>
          </w:p>
          <w:p w14:paraId="0BAB794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（5）对审理案件需要的证据，当事人因客观原因不能收集，书面申请人民法院调查收集，人民法院未调查收集的</w:t>
            </w:r>
          </w:p>
          <w:p w14:paraId="7EB8B1D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（6）原判决、裁定适用法律错误</w:t>
            </w:r>
          </w:p>
          <w:p w14:paraId="2F476F8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（7）审判组织组成不合法或者应当回避的审判人员没有回避的</w:t>
            </w:r>
          </w:p>
          <w:p w14:paraId="1539793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（8）无诉讼行为能力人未经法定代理人代为诉讼或者应当参加诉讼的当事人，因不能归责于本人或者其诉讼代理人的事由未参加诉讼的</w:t>
            </w:r>
          </w:p>
          <w:p w14:paraId="65B6707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（9）违反法律规定，剥夺当事人辩论权利的</w:t>
            </w:r>
          </w:p>
          <w:p w14:paraId="411FE26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（10）未经传票传唤，缺席判决的</w:t>
            </w:r>
          </w:p>
          <w:p w14:paraId="7E1EFD9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（11）原判决、裁定遗漏或者超出诉讼请求的</w:t>
            </w:r>
          </w:p>
          <w:p w14:paraId="013B2EA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（12）据以作出原判决的判决、裁定的法律文书被撤销或者变更的</w:t>
            </w:r>
          </w:p>
          <w:p w14:paraId="03C49E1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（13）审判人员审理该案有贪污受贿，徇私舞弊，枉法裁判行为的</w:t>
            </w:r>
          </w:p>
          <w:p w14:paraId="64FA880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调解书损害国家利益和社会公共利益的</w:t>
            </w:r>
          </w:p>
        </w:tc>
      </w:tr>
      <w:tr w14:paraId="0F1750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0" w:hRule="atLeast"/>
        </w:trPr>
        <w:tc>
          <w:tcPr>
            <w:tcW w:w="850" w:type="pct"/>
            <w:tcBorders>
              <w:tl2br w:val="nil"/>
              <w:tr2bl w:val="nil"/>
            </w:tcBorders>
            <w:vAlign w:val="center"/>
          </w:tcPr>
          <w:p w14:paraId="2660F04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审理法院</w:t>
            </w:r>
          </w:p>
        </w:tc>
        <w:tc>
          <w:tcPr>
            <w:tcW w:w="4149" w:type="pct"/>
            <w:tcBorders>
              <w:tl2br w:val="nil"/>
              <w:tr2bl w:val="nil"/>
            </w:tcBorders>
          </w:tcPr>
          <w:p w14:paraId="2D39B4B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1.原则上由接受抗诉的法院再审</w:t>
            </w:r>
            <w:r>
              <w:rPr>
                <w:rFonts w:hint="eastAsia" w:ascii="楷体" w:hAnsi="楷体" w:eastAsia="楷体" w:cs="楷体"/>
                <w:color w:val="FF0000"/>
                <w:vertAlign w:val="baseline"/>
                <w:lang w:val="en-US" w:eastAsia="zh-CN"/>
              </w:rPr>
              <w:t>（提审）</w:t>
            </w:r>
          </w:p>
          <w:p w14:paraId="662190C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2.有前述法定情形（1）—（5）可以交给下级法院审理，但是经下级法院再审审理过的除外</w:t>
            </w:r>
          </w:p>
        </w:tc>
      </w:tr>
      <w:tr w14:paraId="786001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45" w:hRule="atLeast"/>
        </w:trPr>
        <w:tc>
          <w:tcPr>
            <w:tcW w:w="850" w:type="pct"/>
            <w:tcBorders>
              <w:tl2br w:val="nil"/>
              <w:tr2bl w:val="nil"/>
            </w:tcBorders>
            <w:vAlign w:val="center"/>
          </w:tcPr>
          <w:p w14:paraId="7781119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抗诉的效果</w:t>
            </w:r>
          </w:p>
        </w:tc>
        <w:tc>
          <w:tcPr>
            <w:tcW w:w="4149" w:type="pct"/>
            <w:tcBorders>
              <w:tl2br w:val="nil"/>
              <w:tr2bl w:val="nil"/>
            </w:tcBorders>
          </w:tcPr>
          <w:p w14:paraId="3CA9114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接受抗诉的法院</w:t>
            </w:r>
            <w:r>
              <w:rPr>
                <w:rFonts w:hint="eastAsia" w:ascii="楷体" w:hAnsi="楷体" w:eastAsia="楷体" w:cs="楷体"/>
                <w:color w:val="FF0000"/>
                <w:vertAlign w:val="baseline"/>
                <w:lang w:val="en-US" w:eastAsia="zh-CN"/>
              </w:rPr>
              <w:t>应当</w:t>
            </w:r>
            <w:r>
              <w:rPr>
                <w:rFonts w:hint="eastAsia" w:ascii="楷体" w:hAnsi="楷体" w:eastAsia="楷体" w:cs="楷体"/>
                <w:vertAlign w:val="baseline"/>
                <w:lang w:val="en-US" w:eastAsia="zh-CN"/>
              </w:rPr>
              <w:t>在收到抗诉书之日起30日内作出再审裁定（</w:t>
            </w:r>
            <w:r>
              <w:rPr>
                <w:rFonts w:hint="eastAsia" w:ascii="楷体" w:hAnsi="楷体" w:eastAsia="楷体" w:cs="楷体"/>
                <w:color w:val="FF0000"/>
                <w:vertAlign w:val="baseline"/>
                <w:lang w:val="en-US" w:eastAsia="zh-CN"/>
              </w:rPr>
              <w:t>抗诉必然启动再审</w:t>
            </w:r>
            <w:r>
              <w:rPr>
                <w:rFonts w:hint="eastAsia" w:ascii="楷体" w:hAnsi="楷体" w:eastAsia="楷体" w:cs="楷体"/>
                <w:vertAlign w:val="baseline"/>
                <w:lang w:val="en-US" w:eastAsia="zh-CN"/>
              </w:rPr>
              <w:t>。对检察院的抗诉法院不能审查）</w:t>
            </w:r>
          </w:p>
        </w:tc>
      </w:tr>
    </w:tbl>
    <w:p w14:paraId="1ECCB7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知识点34：当事人申请再审</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81"/>
        <w:gridCol w:w="7141"/>
      </w:tblGrid>
      <w:tr w14:paraId="719BBEE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2B8FD30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申请主体</w:t>
            </w:r>
          </w:p>
        </w:tc>
        <w:tc>
          <w:tcPr>
            <w:tcW w:w="4189" w:type="pct"/>
            <w:tcBorders>
              <w:tl2br w:val="nil"/>
              <w:tr2bl w:val="nil"/>
            </w:tcBorders>
          </w:tcPr>
          <w:p w14:paraId="544F198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原审中的原告、被告、有独立请求权的第三人和判决其承担义务的无独立请</w:t>
            </w:r>
          </w:p>
          <w:p w14:paraId="788B1D0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求权的第三人以及上诉人和被上诉人</w:t>
            </w:r>
          </w:p>
        </w:tc>
      </w:tr>
      <w:tr w14:paraId="6BEE1F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10" w:hRule="atLeast"/>
        </w:trPr>
        <w:tc>
          <w:tcPr>
            <w:tcW w:w="810" w:type="pct"/>
            <w:tcBorders>
              <w:tl2br w:val="nil"/>
              <w:tr2bl w:val="nil"/>
            </w:tcBorders>
            <w:vAlign w:val="center"/>
          </w:tcPr>
          <w:p w14:paraId="37D0482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申请对象</w:t>
            </w:r>
          </w:p>
        </w:tc>
        <w:tc>
          <w:tcPr>
            <w:tcW w:w="4189" w:type="pct"/>
            <w:tcBorders>
              <w:tl2br w:val="nil"/>
              <w:tr2bl w:val="nil"/>
            </w:tcBorders>
          </w:tcPr>
          <w:p w14:paraId="6CA4D9B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1.已经发生法律效力的判决、裁定</w:t>
            </w:r>
          </w:p>
          <w:p w14:paraId="7E7B050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2.已经发生法律效力的调解书</w:t>
            </w:r>
          </w:p>
        </w:tc>
      </w:tr>
      <w:tr w14:paraId="6E3A7E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161A1ED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申请事由</w:t>
            </w:r>
          </w:p>
        </w:tc>
        <w:tc>
          <w:tcPr>
            <w:tcW w:w="4189" w:type="pct"/>
            <w:tcBorders>
              <w:tl2br w:val="nil"/>
              <w:tr2bl w:val="nil"/>
            </w:tcBorders>
          </w:tcPr>
          <w:p w14:paraId="30250B6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1.对于判决、裁定</w:t>
            </w:r>
            <w:r>
              <w:rPr>
                <w:rFonts w:hint="eastAsia" w:ascii="楷体" w:hAnsi="楷体" w:eastAsia="楷体" w:cs="楷体"/>
                <w:color w:val="FF0000"/>
                <w:vertAlign w:val="baseline"/>
                <w:lang w:val="en-US" w:eastAsia="zh-CN"/>
              </w:rPr>
              <w:t>（事由与检察院抗诉事由相同）</w:t>
            </w:r>
          </w:p>
          <w:p w14:paraId="377640B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2.对于调解书：证明调解违反自愿原则或者调解协议的内容违反法律的，可以申请再审</w:t>
            </w:r>
          </w:p>
        </w:tc>
      </w:tr>
      <w:tr w14:paraId="70D586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745C022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不予受理</w:t>
            </w:r>
          </w:p>
        </w:tc>
        <w:tc>
          <w:tcPr>
            <w:tcW w:w="4189" w:type="pct"/>
            <w:tcBorders>
              <w:tl2br w:val="nil"/>
              <w:tr2bl w:val="nil"/>
            </w:tcBorders>
          </w:tcPr>
          <w:p w14:paraId="1CECEBF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当事人申请再审，有下列情形之一的，法院不予受理：</w:t>
            </w:r>
          </w:p>
          <w:p w14:paraId="05DCE9A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1.再审申请被驳回后再次提出申请的</w:t>
            </w:r>
          </w:p>
          <w:p w14:paraId="2D02AE6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2.对再审判决、裁定提出申请的</w:t>
            </w:r>
          </w:p>
          <w:p w14:paraId="71471D1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3.在检察院对当事人的申请作出不予提出再审检察建议或者抗诉决定后又提出申请的</w:t>
            </w:r>
          </w:p>
          <w:p w14:paraId="3FF93C5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（对于情形1和情形2应告知当事人向检察院申请检察建议或者抗诉）</w:t>
            </w:r>
          </w:p>
        </w:tc>
      </w:tr>
      <w:tr w14:paraId="3AB964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2321232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申请时间</w:t>
            </w:r>
          </w:p>
        </w:tc>
        <w:tc>
          <w:tcPr>
            <w:tcW w:w="4189" w:type="pct"/>
            <w:tcBorders>
              <w:tl2br w:val="nil"/>
              <w:tr2bl w:val="nil"/>
            </w:tcBorders>
          </w:tcPr>
          <w:p w14:paraId="74F61DB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1.应当在判决、裁定、调解书</w:t>
            </w:r>
            <w:r>
              <w:rPr>
                <w:rFonts w:hint="eastAsia" w:ascii="楷体" w:hAnsi="楷体" w:eastAsia="楷体" w:cs="楷体"/>
                <w:color w:val="FF0000"/>
                <w:vertAlign w:val="baseline"/>
                <w:lang w:val="en-US" w:eastAsia="zh-CN"/>
              </w:rPr>
              <w:t>发生法律效力后6个月内</w:t>
            </w:r>
            <w:r>
              <w:rPr>
                <w:rFonts w:hint="eastAsia" w:ascii="楷体" w:hAnsi="楷体" w:eastAsia="楷体" w:cs="楷体"/>
                <w:vertAlign w:val="baseline"/>
                <w:lang w:val="en-US" w:eastAsia="zh-CN"/>
              </w:rPr>
              <w:t>提出</w:t>
            </w:r>
          </w:p>
          <w:p w14:paraId="259F78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2.有本法第二百一十一条第一项、第三项、第十二项、第十三项规定情形的，自知道或者应当知道之日起6个月内提出</w:t>
            </w:r>
          </w:p>
        </w:tc>
      </w:tr>
      <w:tr w14:paraId="4342A2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10" w:type="pct"/>
            <w:tcBorders>
              <w:tl2br w:val="nil"/>
              <w:tr2bl w:val="nil"/>
            </w:tcBorders>
            <w:vAlign w:val="center"/>
          </w:tcPr>
          <w:p w14:paraId="57ABD7D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申请法院</w:t>
            </w:r>
          </w:p>
        </w:tc>
        <w:tc>
          <w:tcPr>
            <w:tcW w:w="4189" w:type="pct"/>
            <w:tcBorders>
              <w:tl2br w:val="nil"/>
              <w:tr2bl w:val="nil"/>
            </w:tcBorders>
          </w:tcPr>
          <w:p w14:paraId="09DF79C0">
            <w:pPr>
              <w:keepNext w:val="0"/>
              <w:keepLines w:val="0"/>
              <w:widowControl/>
              <w:suppressLineNumbers w:val="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原则上向</w:t>
            </w:r>
            <w:r>
              <w:rPr>
                <w:rFonts w:hint="eastAsia" w:ascii="楷体" w:hAnsi="楷体" w:eastAsia="楷体" w:cs="楷体"/>
                <w:color w:val="FF0000"/>
                <w:vertAlign w:val="baseline"/>
                <w:lang w:val="en-US" w:eastAsia="zh-CN"/>
              </w:rPr>
              <w:t>原审法院的上一级人民法院</w:t>
            </w:r>
            <w:r>
              <w:rPr>
                <w:rFonts w:hint="eastAsia" w:ascii="楷体" w:hAnsi="楷体" w:eastAsia="楷体" w:cs="楷体"/>
                <w:vertAlign w:val="baseline"/>
                <w:lang w:val="en-US" w:eastAsia="zh-CN"/>
              </w:rPr>
              <w:t>申请；当事人一方人数众多或当事人双方为公民的案件，也可向</w:t>
            </w:r>
            <w:r>
              <w:rPr>
                <w:rFonts w:hint="eastAsia" w:ascii="楷体" w:hAnsi="楷体" w:eastAsia="楷体" w:cs="楷体"/>
                <w:color w:val="FF0000"/>
                <w:vertAlign w:val="baseline"/>
                <w:lang w:val="en-US" w:eastAsia="zh-CN"/>
              </w:rPr>
              <w:t>原审法院</w:t>
            </w:r>
            <w:r>
              <w:rPr>
                <w:rFonts w:hint="eastAsia" w:ascii="楷体" w:hAnsi="楷体" w:eastAsia="楷体" w:cs="楷体"/>
                <w:vertAlign w:val="baseline"/>
                <w:lang w:val="en-US" w:eastAsia="zh-CN"/>
              </w:rPr>
              <w:t>申请再审；</w:t>
            </w:r>
            <w:r>
              <w:rPr>
                <w:rFonts w:hint="eastAsia" w:ascii="楷体" w:hAnsi="楷体" w:eastAsia="楷体" w:cs="楷体"/>
                <w:color w:val="000000"/>
                <w:kern w:val="0"/>
                <w:sz w:val="21"/>
                <w:szCs w:val="21"/>
                <w:lang w:val="en-US" w:eastAsia="zh-CN" w:bidi="ar"/>
              </w:rPr>
              <w:t>一方当事人向上一级法院申请再审，另一方当事人向原审法院申请再审，无法协商一致的，由</w:t>
            </w:r>
            <w:r>
              <w:rPr>
                <w:rFonts w:hint="eastAsia" w:ascii="楷体" w:hAnsi="楷体" w:eastAsia="楷体" w:cs="楷体"/>
                <w:color w:val="FF0000"/>
                <w:kern w:val="0"/>
                <w:sz w:val="21"/>
                <w:szCs w:val="21"/>
                <w:lang w:val="en-US" w:eastAsia="zh-CN" w:bidi="ar"/>
              </w:rPr>
              <w:t>原审法院</w:t>
            </w:r>
            <w:r>
              <w:rPr>
                <w:rFonts w:hint="eastAsia" w:ascii="楷体" w:hAnsi="楷体" w:eastAsia="楷体" w:cs="楷体"/>
                <w:color w:val="000000"/>
                <w:kern w:val="0"/>
                <w:sz w:val="21"/>
                <w:szCs w:val="21"/>
                <w:lang w:val="en-US" w:eastAsia="zh-CN" w:bidi="ar"/>
              </w:rPr>
              <w:t>受理</w:t>
            </w:r>
          </w:p>
        </w:tc>
      </w:tr>
      <w:tr w14:paraId="47818A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5" w:hRule="atLeast"/>
        </w:trPr>
        <w:tc>
          <w:tcPr>
            <w:tcW w:w="810" w:type="pct"/>
            <w:tcBorders>
              <w:tl2br w:val="nil"/>
              <w:tr2bl w:val="nil"/>
            </w:tcBorders>
            <w:vAlign w:val="center"/>
          </w:tcPr>
          <w:p w14:paraId="00E07DF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申请审查</w:t>
            </w:r>
          </w:p>
        </w:tc>
        <w:tc>
          <w:tcPr>
            <w:tcW w:w="4189" w:type="pct"/>
            <w:tcBorders>
              <w:tl2br w:val="nil"/>
              <w:tr2bl w:val="nil"/>
            </w:tcBorders>
          </w:tcPr>
          <w:p w14:paraId="440170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1.审查主体：法院对当事人的再审申请应当组成</w:t>
            </w:r>
            <w:r>
              <w:rPr>
                <w:rFonts w:hint="eastAsia" w:ascii="楷体" w:hAnsi="楷体" w:eastAsia="楷体" w:cs="楷体"/>
                <w:color w:val="FF0000"/>
                <w:vertAlign w:val="baseline"/>
                <w:lang w:val="en-US" w:eastAsia="zh-CN"/>
              </w:rPr>
              <w:t>合议庭</w:t>
            </w:r>
            <w:r>
              <w:rPr>
                <w:rFonts w:hint="eastAsia" w:ascii="楷体" w:hAnsi="楷体" w:eastAsia="楷体" w:cs="楷体"/>
                <w:vertAlign w:val="baseline"/>
                <w:lang w:val="en-US" w:eastAsia="zh-CN"/>
              </w:rPr>
              <w:t>审查</w:t>
            </w:r>
          </w:p>
          <w:p w14:paraId="70C069D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2.审查对象：法院对再审申请的审查，应当围绕</w:t>
            </w:r>
            <w:r>
              <w:rPr>
                <w:rFonts w:hint="eastAsia" w:ascii="楷体" w:hAnsi="楷体" w:eastAsia="楷体" w:cs="楷体"/>
                <w:color w:val="FF0000"/>
                <w:vertAlign w:val="baseline"/>
                <w:lang w:val="en-US" w:eastAsia="zh-CN"/>
              </w:rPr>
              <w:t>再审事由是否成立</w:t>
            </w:r>
            <w:r>
              <w:rPr>
                <w:rFonts w:hint="eastAsia" w:ascii="楷体" w:hAnsi="楷体" w:eastAsia="楷体" w:cs="楷体"/>
                <w:vertAlign w:val="baseline"/>
                <w:lang w:val="en-US" w:eastAsia="zh-CN"/>
              </w:rPr>
              <w:t>进行</w:t>
            </w:r>
          </w:p>
          <w:p w14:paraId="72040E8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审查方式</w:t>
            </w:r>
            <w:r>
              <w:rPr>
                <w:rFonts w:hint="eastAsia" w:ascii="楷体" w:hAnsi="楷体" w:eastAsia="楷体" w:cs="楷体"/>
                <w:vertAlign w:val="baseline"/>
                <w:lang w:val="en-US" w:eastAsia="zh-CN"/>
              </w:rPr>
              <w:t>：</w:t>
            </w:r>
          </w:p>
          <w:p w14:paraId="24935AD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（1）审查当事人提交的再审申请书、书面意见等材料</w:t>
            </w:r>
          </w:p>
          <w:p w14:paraId="6468D2B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（2）审阅原审卷宗</w:t>
            </w:r>
          </w:p>
          <w:p w14:paraId="7F3ADF2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（3）询问当事人。</w:t>
            </w:r>
            <w:r>
              <w:rPr>
                <w:rFonts w:hint="eastAsia" w:ascii="楷体" w:hAnsi="楷体" w:eastAsia="楷体" w:cs="楷体"/>
                <w:color w:val="FF0000"/>
                <w:vertAlign w:val="baseline"/>
                <w:lang w:val="en-US" w:eastAsia="zh-CN"/>
              </w:rPr>
              <w:t>如果是“有新证据足以推翻原判决、裁定”为由提出再审申请的，必须询问当事人</w:t>
            </w:r>
          </w:p>
          <w:p w14:paraId="1CDC14B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（4）组织当事人听证</w:t>
            </w:r>
          </w:p>
          <w:p w14:paraId="49FAD71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4.审查期限：法院在收到再审申请书之日起</w:t>
            </w:r>
            <w:r>
              <w:rPr>
                <w:rFonts w:hint="eastAsia" w:ascii="楷体" w:hAnsi="楷体" w:eastAsia="楷体" w:cs="楷体"/>
                <w:color w:val="FF0000"/>
                <w:vertAlign w:val="baseline"/>
                <w:lang w:val="en-US" w:eastAsia="zh-CN"/>
              </w:rPr>
              <w:t>三个月内</w:t>
            </w:r>
            <w:r>
              <w:rPr>
                <w:rFonts w:hint="eastAsia" w:ascii="楷体" w:hAnsi="楷体" w:eastAsia="楷体" w:cs="楷体"/>
                <w:vertAlign w:val="baseline"/>
                <w:lang w:val="en-US" w:eastAsia="zh-CN"/>
              </w:rPr>
              <w:t>审查，特殊情况，院长批准延长</w:t>
            </w:r>
          </w:p>
          <w:p w14:paraId="3A8D50E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审查结果</w:t>
            </w:r>
            <w:r>
              <w:rPr>
                <w:rFonts w:hint="eastAsia" w:ascii="楷体" w:hAnsi="楷体" w:eastAsia="楷体" w:cs="楷体"/>
                <w:vertAlign w:val="baseline"/>
                <w:lang w:val="en-US" w:eastAsia="zh-CN"/>
              </w:rPr>
              <w:t>：</w:t>
            </w:r>
          </w:p>
          <w:p w14:paraId="559EE8D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（1）符合法定情形——</w:t>
            </w:r>
            <w:r>
              <w:rPr>
                <w:rFonts w:hint="eastAsia" w:ascii="楷体" w:hAnsi="楷体" w:eastAsia="楷体" w:cs="楷体"/>
                <w:color w:val="FF0000"/>
                <w:vertAlign w:val="baseline"/>
                <w:lang w:val="en-US" w:eastAsia="zh-CN"/>
              </w:rPr>
              <w:t>裁定再审</w:t>
            </w:r>
          </w:p>
          <w:p w14:paraId="2BCE116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（2）不符合法定情形——</w:t>
            </w:r>
            <w:r>
              <w:rPr>
                <w:rFonts w:hint="eastAsia" w:ascii="楷体" w:hAnsi="楷体" w:eastAsia="楷体" w:cs="楷体"/>
                <w:color w:val="FF0000"/>
                <w:vertAlign w:val="baseline"/>
                <w:lang w:val="en-US" w:eastAsia="zh-CN"/>
              </w:rPr>
              <w:t>裁定驳回申请</w:t>
            </w:r>
          </w:p>
        </w:tc>
      </w:tr>
      <w:tr w14:paraId="1EAEFC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5" w:hRule="atLeast"/>
        </w:trPr>
        <w:tc>
          <w:tcPr>
            <w:tcW w:w="810" w:type="pct"/>
            <w:tcBorders>
              <w:tl2br w:val="nil"/>
              <w:tr2bl w:val="nil"/>
            </w:tcBorders>
            <w:vAlign w:val="center"/>
          </w:tcPr>
          <w:p w14:paraId="29A26A5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审理法院</w:t>
            </w:r>
          </w:p>
        </w:tc>
        <w:tc>
          <w:tcPr>
            <w:tcW w:w="4189" w:type="pct"/>
            <w:tcBorders>
              <w:tl2br w:val="nil"/>
              <w:tr2bl w:val="nil"/>
            </w:tcBorders>
          </w:tcPr>
          <w:p w14:paraId="3DA5D40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1.因当事人申请裁定再审的案件由</w:t>
            </w:r>
            <w:r>
              <w:rPr>
                <w:rFonts w:hint="eastAsia" w:ascii="楷体" w:hAnsi="楷体" w:eastAsia="楷体" w:cs="楷体"/>
                <w:color w:val="FF0000"/>
                <w:vertAlign w:val="baseline"/>
                <w:lang w:val="en-US" w:eastAsia="zh-CN"/>
              </w:rPr>
              <w:t>中级人民法院以上</w:t>
            </w:r>
            <w:r>
              <w:rPr>
                <w:rFonts w:hint="eastAsia" w:ascii="楷体" w:hAnsi="楷体" w:eastAsia="楷体" w:cs="楷体"/>
                <w:vertAlign w:val="baseline"/>
                <w:lang w:val="en-US" w:eastAsia="zh-CN"/>
              </w:rPr>
              <w:t>的人民法院审理。（一般回不到基层）但当事人一方人数众多或当事人双方为公民的案件，当事人选择向原审的基层人民法院申请再审的</w:t>
            </w:r>
            <w:r>
              <w:rPr>
                <w:rFonts w:hint="eastAsia" w:ascii="楷体" w:hAnsi="楷体" w:eastAsia="楷体" w:cs="楷体"/>
                <w:color w:val="FF0000"/>
                <w:vertAlign w:val="baseline"/>
                <w:lang w:val="en-US" w:eastAsia="zh-CN"/>
              </w:rPr>
              <w:t>除外</w:t>
            </w:r>
          </w:p>
          <w:p w14:paraId="4304195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2.最高人民法院、高级人民法院裁定再审的案件，</w:t>
            </w:r>
            <w:r>
              <w:rPr>
                <w:rFonts w:hint="eastAsia" w:ascii="楷体" w:hAnsi="楷体" w:eastAsia="楷体" w:cs="楷体"/>
                <w:color w:val="FF0000"/>
                <w:vertAlign w:val="baseline"/>
                <w:lang w:val="en-US" w:eastAsia="zh-CN"/>
              </w:rPr>
              <w:t>由本院再审或者交其他人民法院再审，也可以交原审人民法院再审</w:t>
            </w:r>
          </w:p>
        </w:tc>
      </w:tr>
    </w:tbl>
    <w:p w14:paraId="78D77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知识点35：再审的审理</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30"/>
        <w:gridCol w:w="1545"/>
        <w:gridCol w:w="5747"/>
      </w:tblGrid>
      <w:tr w14:paraId="41DE2C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restart"/>
            <w:tcBorders>
              <w:tl2br w:val="nil"/>
              <w:tr2bl w:val="nil"/>
            </w:tcBorders>
            <w:vAlign w:val="center"/>
          </w:tcPr>
          <w:p w14:paraId="11E760F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再审程序</w:t>
            </w:r>
          </w:p>
        </w:tc>
        <w:tc>
          <w:tcPr>
            <w:tcW w:w="906" w:type="pct"/>
            <w:tcBorders>
              <w:tl2br w:val="nil"/>
              <w:tr2bl w:val="nil"/>
            </w:tcBorders>
            <w:vAlign w:val="center"/>
          </w:tcPr>
          <w:p w14:paraId="0B95419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中止原判执行</w:t>
            </w:r>
          </w:p>
        </w:tc>
        <w:tc>
          <w:tcPr>
            <w:tcW w:w="3371" w:type="pct"/>
            <w:tcBorders>
              <w:tl2br w:val="nil"/>
              <w:tr2bl w:val="nil"/>
            </w:tcBorders>
          </w:tcPr>
          <w:p w14:paraId="792C525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按照再审程序决定再审后，</w:t>
            </w:r>
            <w:r>
              <w:rPr>
                <w:rFonts w:hint="eastAsia" w:ascii="楷体" w:hAnsi="楷体" w:eastAsia="楷体" w:cs="楷体"/>
                <w:color w:val="FF0000"/>
                <w:vertAlign w:val="baseline"/>
                <w:lang w:val="en-US" w:eastAsia="zh-CN"/>
              </w:rPr>
              <w:t>应当裁定中止原判决、裁定、调解书的执行</w:t>
            </w:r>
            <w:r>
              <w:rPr>
                <w:rFonts w:hint="eastAsia" w:ascii="楷体" w:hAnsi="楷体" w:eastAsia="楷体" w:cs="楷体"/>
                <w:vertAlign w:val="baseline"/>
                <w:lang w:val="en-US" w:eastAsia="zh-CN"/>
              </w:rPr>
              <w:t>；但是追索赡养费、扶养费、抚养费、抚恤金、医疗费用、劳动报酬等案件，可以不中止执行</w:t>
            </w:r>
          </w:p>
        </w:tc>
      </w:tr>
      <w:tr w14:paraId="050F96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continue"/>
            <w:tcBorders>
              <w:tl2br w:val="nil"/>
              <w:tr2bl w:val="nil"/>
            </w:tcBorders>
            <w:vAlign w:val="center"/>
          </w:tcPr>
          <w:p w14:paraId="4B11515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906" w:type="pct"/>
            <w:tcBorders>
              <w:tl2br w:val="nil"/>
              <w:tr2bl w:val="nil"/>
            </w:tcBorders>
            <w:vAlign w:val="center"/>
          </w:tcPr>
          <w:p w14:paraId="51BFB55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重组合议庭</w:t>
            </w:r>
          </w:p>
        </w:tc>
        <w:tc>
          <w:tcPr>
            <w:tcW w:w="3371" w:type="pct"/>
            <w:tcBorders>
              <w:tl2br w:val="nil"/>
              <w:tr2bl w:val="nil"/>
            </w:tcBorders>
          </w:tcPr>
          <w:p w14:paraId="52A9208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法院审理再审案件，应当</w:t>
            </w:r>
            <w:r>
              <w:rPr>
                <w:rFonts w:hint="eastAsia" w:ascii="楷体" w:hAnsi="楷体" w:eastAsia="楷体" w:cs="楷体"/>
                <w:color w:val="FF0000"/>
                <w:vertAlign w:val="baseline"/>
                <w:lang w:val="en-US" w:eastAsia="zh-CN"/>
              </w:rPr>
              <w:t>另行组成合议庭</w:t>
            </w:r>
          </w:p>
        </w:tc>
      </w:tr>
      <w:tr w14:paraId="4CF0B1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continue"/>
            <w:tcBorders>
              <w:tl2br w:val="nil"/>
              <w:tr2bl w:val="nil"/>
            </w:tcBorders>
            <w:vAlign w:val="center"/>
          </w:tcPr>
          <w:p w14:paraId="6A23197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p>
        </w:tc>
        <w:tc>
          <w:tcPr>
            <w:tcW w:w="906" w:type="pct"/>
            <w:tcBorders>
              <w:tl2br w:val="nil"/>
              <w:tr2bl w:val="nil"/>
            </w:tcBorders>
            <w:vAlign w:val="center"/>
          </w:tcPr>
          <w:p w14:paraId="4324C7C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审理程序</w:t>
            </w:r>
          </w:p>
        </w:tc>
        <w:tc>
          <w:tcPr>
            <w:tcW w:w="3371" w:type="pct"/>
            <w:tcBorders>
              <w:tl2br w:val="nil"/>
              <w:tr2bl w:val="nil"/>
            </w:tcBorders>
          </w:tcPr>
          <w:p w14:paraId="1092B99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再审没有独立的审理程序，而是适用一审或二审程序重新审理：</w:t>
            </w:r>
          </w:p>
          <w:p w14:paraId="278C3D7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1.原生效裁判是第一审法院作出的，按照第一审程序审理，所作裁判</w:t>
            </w:r>
            <w:r>
              <w:rPr>
                <w:rFonts w:hint="eastAsia" w:ascii="楷体" w:hAnsi="楷体" w:eastAsia="楷体" w:cs="楷体"/>
                <w:color w:val="FF0000"/>
                <w:vertAlign w:val="baseline"/>
                <w:lang w:val="en-US" w:eastAsia="zh-CN"/>
              </w:rPr>
              <w:t>可以上诉</w:t>
            </w:r>
          </w:p>
          <w:p w14:paraId="5FC39F4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2.原生效裁判是第二审法院作出的，按照第二审程序审理，所作裁判是</w:t>
            </w:r>
            <w:r>
              <w:rPr>
                <w:rFonts w:hint="eastAsia" w:ascii="楷体" w:hAnsi="楷体" w:eastAsia="楷体" w:cs="楷体"/>
                <w:color w:val="FF0000"/>
                <w:vertAlign w:val="baseline"/>
                <w:lang w:val="en-US" w:eastAsia="zh-CN"/>
              </w:rPr>
              <w:t>终审裁判</w:t>
            </w:r>
          </w:p>
          <w:p w14:paraId="73BADEF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3.上级法院按照审判监督程序提审的，按照二审程序审理，所作裁判是</w:t>
            </w:r>
            <w:r>
              <w:rPr>
                <w:rFonts w:hint="eastAsia" w:ascii="楷体" w:hAnsi="楷体" w:eastAsia="楷体" w:cs="楷体"/>
                <w:color w:val="FF0000"/>
                <w:vertAlign w:val="baseline"/>
                <w:lang w:val="en-US" w:eastAsia="zh-CN"/>
              </w:rPr>
              <w:t>终审裁判</w:t>
            </w:r>
          </w:p>
        </w:tc>
      </w:tr>
      <w:tr w14:paraId="7CC4A0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restart"/>
            <w:tcBorders>
              <w:tl2br w:val="nil"/>
              <w:tr2bl w:val="nil"/>
            </w:tcBorders>
            <w:vAlign w:val="center"/>
          </w:tcPr>
          <w:p w14:paraId="1BD80ED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再审范围</w:t>
            </w:r>
          </w:p>
        </w:tc>
        <w:tc>
          <w:tcPr>
            <w:tcW w:w="906" w:type="pct"/>
            <w:tcBorders>
              <w:tl2br w:val="nil"/>
              <w:tr2bl w:val="nil"/>
            </w:tcBorders>
            <w:vAlign w:val="center"/>
          </w:tcPr>
          <w:p w14:paraId="33CBF99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原则</w:t>
            </w:r>
          </w:p>
        </w:tc>
        <w:tc>
          <w:tcPr>
            <w:tcW w:w="3371" w:type="pct"/>
            <w:tcBorders>
              <w:tl2br w:val="nil"/>
              <w:tr2bl w:val="nil"/>
            </w:tcBorders>
          </w:tcPr>
          <w:p w14:paraId="3F36183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法院审理再审案件应当围绕再审请求进行。当事人的再审请求</w:t>
            </w:r>
            <w:r>
              <w:rPr>
                <w:rFonts w:hint="eastAsia" w:ascii="楷体" w:hAnsi="楷体" w:eastAsia="楷体" w:cs="楷体"/>
                <w:color w:val="FF0000"/>
                <w:vertAlign w:val="baseline"/>
                <w:lang w:val="en-US" w:eastAsia="zh-CN"/>
              </w:rPr>
              <w:t>超出原审诉讼请求的，不予审理</w:t>
            </w:r>
            <w:r>
              <w:rPr>
                <w:rFonts w:hint="eastAsia" w:ascii="楷体" w:hAnsi="楷体" w:eastAsia="楷体" w:cs="楷体"/>
                <w:vertAlign w:val="baseline"/>
                <w:lang w:val="en-US" w:eastAsia="zh-CN"/>
              </w:rPr>
              <w:t>；符合另行起诉条件的，告知当事人</w:t>
            </w:r>
            <w:r>
              <w:rPr>
                <w:rFonts w:hint="eastAsia" w:ascii="楷体" w:hAnsi="楷体" w:eastAsia="楷体" w:cs="楷体"/>
                <w:color w:val="FF0000"/>
                <w:vertAlign w:val="baseline"/>
                <w:lang w:val="en-US" w:eastAsia="zh-CN"/>
              </w:rPr>
              <w:t>可以另行起诉</w:t>
            </w:r>
          </w:p>
        </w:tc>
      </w:tr>
      <w:tr w14:paraId="377D7A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continue"/>
            <w:tcBorders>
              <w:tl2br w:val="nil"/>
              <w:tr2bl w:val="nil"/>
            </w:tcBorders>
            <w:vAlign w:val="center"/>
          </w:tcPr>
          <w:p w14:paraId="75338B9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906" w:type="pct"/>
            <w:tcBorders>
              <w:tl2br w:val="nil"/>
              <w:tr2bl w:val="nil"/>
            </w:tcBorders>
            <w:vAlign w:val="center"/>
          </w:tcPr>
          <w:p w14:paraId="425D041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w:t>
            </w:r>
          </w:p>
        </w:tc>
        <w:tc>
          <w:tcPr>
            <w:tcW w:w="3371" w:type="pct"/>
            <w:tcBorders>
              <w:tl2br w:val="nil"/>
              <w:tr2bl w:val="nil"/>
            </w:tcBorders>
          </w:tcPr>
          <w:p w14:paraId="329C387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适用二审程序的再审中，再审法院裁定撤销原判发回重审的案件，当事人</w:t>
            </w:r>
            <w:r>
              <w:rPr>
                <w:rFonts w:hint="eastAsia" w:ascii="楷体" w:hAnsi="楷体" w:eastAsia="楷体" w:cs="楷体"/>
                <w:color w:val="FF0000"/>
                <w:vertAlign w:val="baseline"/>
                <w:lang w:val="en-US" w:eastAsia="zh-CN"/>
              </w:rPr>
              <w:t>申请变更、增加诉讼请求或者提出反诉</w:t>
            </w:r>
            <w:r>
              <w:rPr>
                <w:rFonts w:hint="eastAsia" w:ascii="楷体" w:hAnsi="楷体" w:eastAsia="楷体" w:cs="楷体"/>
                <w:vertAlign w:val="baseline"/>
                <w:lang w:val="en-US" w:eastAsia="zh-CN"/>
              </w:rPr>
              <w:t>，符合下列条件之一的，法院应当准许：</w:t>
            </w:r>
          </w:p>
          <w:p w14:paraId="283EC2E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1.原审未合法传唤缺席判决，影响当事人行使诉讼权利的</w:t>
            </w:r>
          </w:p>
          <w:p w14:paraId="3E92EB3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2.追加新的当事人的</w:t>
            </w:r>
          </w:p>
          <w:p w14:paraId="15D15AF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3.诉讼标的物灭失或者发生变化致使原诉讼请求无法实现的</w:t>
            </w:r>
          </w:p>
          <w:p w14:paraId="103070A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4.当事人申请变更、增加的诉讼请求或者提出的反诉无法通过另诉解决的</w:t>
            </w:r>
          </w:p>
        </w:tc>
      </w:tr>
      <w:tr w14:paraId="7A4468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restart"/>
            <w:tcBorders>
              <w:tl2br w:val="nil"/>
              <w:tr2bl w:val="nil"/>
            </w:tcBorders>
            <w:vAlign w:val="center"/>
          </w:tcPr>
          <w:p w14:paraId="3117BFC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再审结案</w:t>
            </w:r>
          </w:p>
        </w:tc>
        <w:tc>
          <w:tcPr>
            <w:tcW w:w="906" w:type="pct"/>
            <w:tcBorders>
              <w:tl2br w:val="nil"/>
              <w:tr2bl w:val="nil"/>
            </w:tcBorders>
            <w:vAlign w:val="center"/>
          </w:tcPr>
          <w:p w14:paraId="0A784A7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裁判</w:t>
            </w:r>
          </w:p>
        </w:tc>
        <w:tc>
          <w:tcPr>
            <w:tcW w:w="3371" w:type="pct"/>
            <w:tcBorders>
              <w:tl2br w:val="nil"/>
              <w:tr2bl w:val="nil"/>
            </w:tcBorders>
          </w:tcPr>
          <w:p w14:paraId="3D23619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按照审判监督程序决定再审或者提审的案件，由再审或者提审的法院在作出新的判决、裁定中</w:t>
            </w:r>
            <w:r>
              <w:rPr>
                <w:rFonts w:hint="eastAsia" w:ascii="楷体" w:hAnsi="楷体" w:eastAsia="楷体" w:cs="楷体"/>
                <w:color w:val="FF0000"/>
                <w:vertAlign w:val="baseline"/>
                <w:lang w:val="en-US" w:eastAsia="zh-CN"/>
              </w:rPr>
              <w:t>确定是否撤销、改变或者维持原判决、裁定</w:t>
            </w:r>
          </w:p>
        </w:tc>
      </w:tr>
      <w:tr w14:paraId="2CA824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continue"/>
            <w:tcBorders>
              <w:tl2br w:val="nil"/>
              <w:tr2bl w:val="nil"/>
            </w:tcBorders>
            <w:vAlign w:val="center"/>
          </w:tcPr>
          <w:p w14:paraId="1B2590F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906" w:type="pct"/>
            <w:tcBorders>
              <w:tl2br w:val="nil"/>
              <w:tr2bl w:val="nil"/>
            </w:tcBorders>
            <w:vAlign w:val="center"/>
          </w:tcPr>
          <w:p w14:paraId="5D76D20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调解</w:t>
            </w:r>
          </w:p>
        </w:tc>
        <w:tc>
          <w:tcPr>
            <w:tcW w:w="3371" w:type="pct"/>
            <w:tcBorders>
              <w:tl2br w:val="nil"/>
              <w:tr2bl w:val="nil"/>
            </w:tcBorders>
          </w:tcPr>
          <w:p w14:paraId="02848F64">
            <w:pPr>
              <w:keepNext w:val="0"/>
              <w:keepLines w:val="0"/>
              <w:widowControl/>
              <w:suppressLineNumbers w:val="0"/>
              <w:jc w:val="left"/>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达成调解协议的，</w:t>
            </w:r>
            <w:r>
              <w:rPr>
                <w:rFonts w:hint="eastAsia" w:ascii="楷体" w:hAnsi="楷体" w:eastAsia="楷体" w:cs="楷体"/>
                <w:color w:val="FF0000"/>
                <w:vertAlign w:val="baseline"/>
                <w:lang w:val="en-US" w:eastAsia="zh-CN"/>
              </w:rPr>
              <w:t>应当制作调解书</w:t>
            </w:r>
            <w:r>
              <w:rPr>
                <w:rFonts w:hint="eastAsia" w:ascii="楷体" w:hAnsi="楷体" w:eastAsia="楷体" w:cs="楷体"/>
                <w:vertAlign w:val="baseline"/>
                <w:lang w:val="en-US" w:eastAsia="zh-CN"/>
              </w:rPr>
              <w:t>，调解书送达后，原判决、裁定视为撤销</w:t>
            </w:r>
          </w:p>
        </w:tc>
      </w:tr>
      <w:tr w14:paraId="7E93F9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continue"/>
            <w:tcBorders>
              <w:tl2br w:val="nil"/>
              <w:tr2bl w:val="nil"/>
            </w:tcBorders>
            <w:vAlign w:val="center"/>
          </w:tcPr>
          <w:p w14:paraId="31B7328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906" w:type="pct"/>
            <w:tcBorders>
              <w:tl2br w:val="nil"/>
              <w:tr2bl w:val="nil"/>
            </w:tcBorders>
            <w:vAlign w:val="center"/>
          </w:tcPr>
          <w:p w14:paraId="23C28B5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撤回起诉</w:t>
            </w:r>
          </w:p>
        </w:tc>
        <w:tc>
          <w:tcPr>
            <w:tcW w:w="3371" w:type="pct"/>
            <w:tcBorders>
              <w:tl2br w:val="nil"/>
              <w:tr2bl w:val="nil"/>
            </w:tcBorders>
          </w:tcPr>
          <w:p w14:paraId="3017F2F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一审原告在再审审理程序中申请撤回起诉，经其他当事人同意，且不损害国家利益、社会公共利益、他人合法权益的，法院可以准许。</w:t>
            </w:r>
            <w:r>
              <w:rPr>
                <w:rFonts w:hint="eastAsia" w:ascii="楷体" w:hAnsi="楷体" w:eastAsia="楷体" w:cs="楷体"/>
                <w:color w:val="FF0000"/>
                <w:vertAlign w:val="baseline"/>
                <w:lang w:val="en-US" w:eastAsia="zh-CN"/>
              </w:rPr>
              <w:t>裁定准许撤诉的，应当一并撤销原判决</w:t>
            </w:r>
          </w:p>
        </w:tc>
      </w:tr>
      <w:tr w14:paraId="0C9EF5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vMerge w:val="continue"/>
            <w:tcBorders>
              <w:tl2br w:val="nil"/>
              <w:tr2bl w:val="nil"/>
            </w:tcBorders>
            <w:vAlign w:val="center"/>
          </w:tcPr>
          <w:p w14:paraId="14F72B6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906" w:type="pct"/>
            <w:tcBorders>
              <w:tl2br w:val="nil"/>
              <w:tr2bl w:val="nil"/>
            </w:tcBorders>
            <w:vAlign w:val="center"/>
          </w:tcPr>
          <w:p w14:paraId="1F77E7D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终结再审程序</w:t>
            </w:r>
          </w:p>
        </w:tc>
        <w:tc>
          <w:tcPr>
            <w:tcW w:w="3371" w:type="pct"/>
            <w:tcBorders>
              <w:tl2br w:val="nil"/>
              <w:tr2bl w:val="nil"/>
            </w:tcBorders>
          </w:tcPr>
          <w:p w14:paraId="43D0A0E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在法院审查再审申请期间，或者在再审的审理期间，当事人已经达成和解协议，并且已经履行完毕的，法院</w:t>
            </w:r>
            <w:r>
              <w:rPr>
                <w:rFonts w:hint="eastAsia" w:ascii="楷体" w:hAnsi="楷体" w:eastAsia="楷体" w:cs="楷体"/>
                <w:color w:val="FF0000"/>
                <w:vertAlign w:val="baseline"/>
                <w:lang w:val="en-US" w:eastAsia="zh-CN"/>
              </w:rPr>
              <w:t>应当裁定终结审查或者裁定终结再审程序</w:t>
            </w:r>
            <w:r>
              <w:rPr>
                <w:rFonts w:hint="eastAsia" w:ascii="楷体" w:hAnsi="楷体" w:eastAsia="楷体" w:cs="楷体"/>
                <w:vertAlign w:val="baseline"/>
                <w:lang w:val="en-US" w:eastAsia="zh-CN"/>
              </w:rPr>
              <w:t>，但当事人在和解协议中声明不放弃申请再审权利的除外</w:t>
            </w:r>
          </w:p>
        </w:tc>
      </w:tr>
    </w:tbl>
    <w:p w14:paraId="32844C75">
      <w:pPr>
        <w:pStyle w:val="3"/>
        <w:bidi w:val="0"/>
        <w:rPr>
          <w:rFonts w:hint="eastAsia" w:ascii="楷体" w:hAnsi="楷体" w:eastAsia="楷体" w:cs="楷体"/>
          <w:lang w:val="en-US" w:eastAsia="zh-CN"/>
        </w:rPr>
      </w:pPr>
      <w:bookmarkStart w:id="39" w:name="_Toc9564"/>
      <w:bookmarkStart w:id="40" w:name="_Toc32240"/>
      <w:bookmarkStart w:id="41" w:name="_Toc12547"/>
      <w:r>
        <w:rPr>
          <w:rFonts w:hint="eastAsia" w:ascii="楷体" w:hAnsi="楷体" w:eastAsia="楷体" w:cs="楷体"/>
          <w:lang w:val="en-US" w:eastAsia="zh-CN"/>
        </w:rPr>
        <w:t>专题十四 特别程序</w:t>
      </w:r>
      <w:bookmarkEnd w:id="39"/>
      <w:bookmarkEnd w:id="40"/>
      <w:bookmarkEnd w:id="41"/>
    </w:p>
    <w:p w14:paraId="019B29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知识点36：确认调解协议案件</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79"/>
        <w:gridCol w:w="7043"/>
      </w:tblGrid>
      <w:tr w14:paraId="1BB74E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68" w:type="pct"/>
            <w:tcBorders>
              <w:tl2br w:val="nil"/>
              <w:tr2bl w:val="nil"/>
            </w:tcBorders>
            <w:vAlign w:val="center"/>
          </w:tcPr>
          <w:p w14:paraId="21F9C3B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启动</w:t>
            </w:r>
          </w:p>
        </w:tc>
        <w:tc>
          <w:tcPr>
            <w:tcW w:w="4131" w:type="pct"/>
            <w:tcBorders>
              <w:tl2br w:val="nil"/>
              <w:tr2bl w:val="nil"/>
            </w:tcBorders>
          </w:tcPr>
          <w:p w14:paraId="2D5163A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双方当事人，自调解协议生效之日起30日内</w:t>
            </w:r>
            <w:r>
              <w:rPr>
                <w:rFonts w:hint="eastAsia" w:ascii="楷体" w:hAnsi="楷体" w:eastAsia="楷体" w:cs="楷体"/>
                <w:color w:val="FF0000"/>
                <w:vertAlign w:val="baseline"/>
                <w:lang w:val="en-US" w:eastAsia="zh-CN"/>
              </w:rPr>
              <w:t>共同申请</w:t>
            </w:r>
          </w:p>
        </w:tc>
      </w:tr>
      <w:tr w14:paraId="32A225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68" w:type="pct"/>
            <w:tcBorders>
              <w:tl2br w:val="nil"/>
              <w:tr2bl w:val="nil"/>
            </w:tcBorders>
            <w:vAlign w:val="center"/>
          </w:tcPr>
          <w:p w14:paraId="216A3AE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4131" w:type="pct"/>
            <w:tcBorders>
              <w:tl2br w:val="nil"/>
              <w:tr2bl w:val="nil"/>
            </w:tcBorders>
          </w:tcPr>
          <w:p w14:paraId="037C28D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1.法院邀请调解组织开展先行调解的，向作出邀请的法院提出</w:t>
            </w:r>
          </w:p>
          <w:p w14:paraId="2A6D891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2.调解组织自行开展调解的，向当事人住所地、标的物所在地、调解组织所在地的</w:t>
            </w:r>
            <w:r>
              <w:rPr>
                <w:rFonts w:hint="eastAsia" w:ascii="楷体" w:hAnsi="楷体" w:eastAsia="楷体" w:cs="楷体"/>
                <w:color w:val="FF0000"/>
                <w:vertAlign w:val="baseline"/>
                <w:lang w:val="en-US" w:eastAsia="zh-CN"/>
              </w:rPr>
              <w:t>基层法院</w:t>
            </w:r>
            <w:r>
              <w:rPr>
                <w:rFonts w:hint="eastAsia" w:ascii="楷体" w:hAnsi="楷体" w:eastAsia="楷体" w:cs="楷体"/>
                <w:vertAlign w:val="baseline"/>
                <w:lang w:val="en-US" w:eastAsia="zh-CN"/>
              </w:rPr>
              <w:t>提出；调解协议所涉纠纷应当由</w:t>
            </w:r>
            <w:r>
              <w:rPr>
                <w:rFonts w:hint="eastAsia" w:ascii="楷体" w:hAnsi="楷体" w:eastAsia="楷体" w:cs="楷体"/>
                <w:color w:val="FF0000"/>
                <w:vertAlign w:val="baseline"/>
                <w:lang w:val="en-US" w:eastAsia="zh-CN"/>
              </w:rPr>
              <w:t>中级法院</w:t>
            </w:r>
            <w:r>
              <w:rPr>
                <w:rFonts w:hint="eastAsia" w:ascii="楷体" w:hAnsi="楷体" w:eastAsia="楷体" w:cs="楷体"/>
                <w:vertAlign w:val="baseline"/>
                <w:lang w:val="en-US" w:eastAsia="zh-CN"/>
              </w:rPr>
              <w:t>管辖的，向相应的中级法院提出</w:t>
            </w:r>
          </w:p>
        </w:tc>
      </w:tr>
      <w:tr w14:paraId="3EAA0E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68" w:type="pct"/>
            <w:tcBorders>
              <w:tl2br w:val="nil"/>
              <w:tr2bl w:val="nil"/>
            </w:tcBorders>
            <w:vAlign w:val="center"/>
          </w:tcPr>
          <w:p w14:paraId="2C5E7FD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不予受理</w:t>
            </w:r>
          </w:p>
        </w:tc>
        <w:tc>
          <w:tcPr>
            <w:tcW w:w="4131" w:type="pct"/>
            <w:tcBorders>
              <w:tl2br w:val="nil"/>
              <w:tr2bl w:val="nil"/>
            </w:tcBorders>
          </w:tcPr>
          <w:p w14:paraId="2AA7AF6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法院受理申请后，发现有上述不予受理情形的，</w:t>
            </w:r>
            <w:r>
              <w:rPr>
                <w:rFonts w:hint="eastAsia" w:ascii="楷体" w:hAnsi="楷体" w:eastAsia="楷体" w:cs="楷体"/>
                <w:color w:val="FF0000"/>
                <w:vertAlign w:val="baseline"/>
                <w:lang w:val="en-US" w:eastAsia="zh-CN"/>
              </w:rPr>
              <w:t>应当裁定驳回</w:t>
            </w:r>
            <w:r>
              <w:rPr>
                <w:rFonts w:hint="eastAsia" w:ascii="楷体" w:hAnsi="楷体" w:eastAsia="楷体" w:cs="楷体"/>
                <w:vertAlign w:val="baseline"/>
                <w:lang w:val="en-US" w:eastAsia="zh-CN"/>
              </w:rPr>
              <w:t>当事人的申请：</w:t>
            </w:r>
          </w:p>
          <w:p w14:paraId="673CFD2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1.不属于人民法院受理范围的</w:t>
            </w:r>
          </w:p>
          <w:p w14:paraId="1A0F9B3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2.不属于收到申请的人民法院管辖的</w:t>
            </w:r>
          </w:p>
          <w:p w14:paraId="36DA378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3.申请确认婚姻关系、亲子关系、收养关系等身份关系无效、有效或者解除的</w:t>
            </w:r>
          </w:p>
          <w:p w14:paraId="6FA663D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4.涉及适用其他特别程序、公示催告程序、破产程序审理的</w:t>
            </w:r>
          </w:p>
          <w:p w14:paraId="2FA7A56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5.调解协议内容涉及物权、知识产权确权的</w:t>
            </w:r>
          </w:p>
        </w:tc>
      </w:tr>
      <w:tr w14:paraId="2862E8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68" w:type="pct"/>
            <w:tcBorders>
              <w:tl2br w:val="nil"/>
              <w:tr2bl w:val="nil"/>
            </w:tcBorders>
            <w:vAlign w:val="center"/>
          </w:tcPr>
          <w:p w14:paraId="40169F7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处理与救济</w:t>
            </w:r>
          </w:p>
        </w:tc>
        <w:tc>
          <w:tcPr>
            <w:tcW w:w="4131" w:type="pct"/>
            <w:tcBorders>
              <w:tl2br w:val="nil"/>
              <w:tr2bl w:val="nil"/>
            </w:tcBorders>
          </w:tcPr>
          <w:p w14:paraId="70EB48F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1.经审查，符合规定的裁定调解协议有效；</w:t>
            </w:r>
            <w:r>
              <w:rPr>
                <w:rFonts w:hint="eastAsia" w:ascii="楷体" w:hAnsi="楷体" w:eastAsia="楷体" w:cs="楷体"/>
                <w:color w:val="FF0000"/>
                <w:vertAlign w:val="baseline"/>
                <w:lang w:val="en-US" w:eastAsia="zh-CN"/>
              </w:rPr>
              <w:t>该裁定具有强制执行效力</w:t>
            </w:r>
            <w:r>
              <w:rPr>
                <w:rFonts w:hint="eastAsia" w:ascii="楷体" w:hAnsi="楷体" w:eastAsia="楷体" w:cs="楷体"/>
                <w:vertAlign w:val="baseline"/>
                <w:lang w:val="en-US" w:eastAsia="zh-CN"/>
              </w:rPr>
              <w:t>；当事人有异议的，应当在收到裁定书之日起15日内提出异议；利害关系人有异议的，可以在知道或者应当知道权利受损之日起6个月内提出</w:t>
            </w:r>
          </w:p>
          <w:p w14:paraId="7A6C34B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2.经审查不符合法律规定的，</w:t>
            </w:r>
            <w:r>
              <w:rPr>
                <w:rFonts w:hint="eastAsia" w:ascii="楷体" w:hAnsi="楷体" w:eastAsia="楷体" w:cs="楷体"/>
                <w:color w:val="FF0000"/>
                <w:vertAlign w:val="baseline"/>
                <w:lang w:val="en-US" w:eastAsia="zh-CN"/>
              </w:rPr>
              <w:t>裁定驳回申请</w:t>
            </w:r>
            <w:r>
              <w:rPr>
                <w:rFonts w:hint="eastAsia" w:ascii="楷体" w:hAnsi="楷体" w:eastAsia="楷体" w:cs="楷体"/>
                <w:vertAlign w:val="baseline"/>
                <w:lang w:val="en-US" w:eastAsia="zh-CN"/>
              </w:rPr>
              <w:t>；当事人可以通过变更或重新达成调解协议，或向法院起诉</w:t>
            </w:r>
          </w:p>
        </w:tc>
      </w:tr>
    </w:tbl>
    <w:p w14:paraId="334E63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知识点37：实现担保物权案件</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25"/>
        <w:gridCol w:w="7097"/>
      </w:tblGrid>
      <w:tr w14:paraId="5F1B7C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36" w:type="pct"/>
            <w:tcBorders>
              <w:tl2br w:val="nil"/>
              <w:tr2bl w:val="nil"/>
            </w:tcBorders>
            <w:vAlign w:val="center"/>
          </w:tcPr>
          <w:p w14:paraId="2AA75D2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主体</w:t>
            </w:r>
          </w:p>
        </w:tc>
        <w:tc>
          <w:tcPr>
            <w:tcW w:w="4163" w:type="pct"/>
            <w:tcBorders>
              <w:tl2br w:val="nil"/>
              <w:tr2bl w:val="nil"/>
            </w:tcBorders>
          </w:tcPr>
          <w:p w14:paraId="1D9B855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担保物权人以及其他有权请求实现担保物权的人</w:t>
            </w:r>
          </w:p>
        </w:tc>
      </w:tr>
      <w:tr w14:paraId="27AAE6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36" w:type="pct"/>
            <w:tcBorders>
              <w:tl2br w:val="nil"/>
              <w:tr2bl w:val="nil"/>
            </w:tcBorders>
            <w:vAlign w:val="center"/>
          </w:tcPr>
          <w:p w14:paraId="6CC114C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4163" w:type="pct"/>
            <w:tcBorders>
              <w:tl2br w:val="nil"/>
              <w:tr2bl w:val="nil"/>
            </w:tcBorders>
          </w:tcPr>
          <w:p w14:paraId="46775E5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担保财产所在地</w:t>
            </w:r>
            <w:r>
              <w:rPr>
                <w:rFonts w:hint="eastAsia" w:ascii="楷体" w:hAnsi="楷体" w:eastAsia="楷体" w:cs="楷体"/>
                <w:vertAlign w:val="baseline"/>
                <w:lang w:val="en-US" w:eastAsia="zh-CN"/>
              </w:rPr>
              <w:t>或者</w:t>
            </w:r>
            <w:r>
              <w:rPr>
                <w:rFonts w:hint="eastAsia" w:ascii="楷体" w:hAnsi="楷体" w:eastAsia="楷体" w:cs="楷体"/>
                <w:color w:val="FF0000"/>
                <w:vertAlign w:val="baseline"/>
                <w:lang w:val="en-US" w:eastAsia="zh-CN"/>
              </w:rPr>
              <w:t>担保物权登记地</w:t>
            </w:r>
            <w:r>
              <w:rPr>
                <w:rFonts w:hint="eastAsia" w:ascii="楷体" w:hAnsi="楷体" w:eastAsia="楷体" w:cs="楷体"/>
                <w:vertAlign w:val="baseline"/>
                <w:lang w:val="en-US" w:eastAsia="zh-CN"/>
              </w:rPr>
              <w:t>基层人民法院</w:t>
            </w:r>
          </w:p>
        </w:tc>
      </w:tr>
      <w:tr w14:paraId="3F87FA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36" w:type="pct"/>
            <w:tcBorders>
              <w:tl2br w:val="nil"/>
              <w:tr2bl w:val="nil"/>
            </w:tcBorders>
            <w:vAlign w:val="center"/>
          </w:tcPr>
          <w:p w14:paraId="60E865D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处理</w:t>
            </w:r>
          </w:p>
        </w:tc>
        <w:tc>
          <w:tcPr>
            <w:tcW w:w="4163" w:type="pct"/>
            <w:tcBorders>
              <w:tl2br w:val="nil"/>
              <w:tr2bl w:val="nil"/>
            </w:tcBorders>
          </w:tcPr>
          <w:p w14:paraId="5E15AA6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1.经审查，符合法律规定的，</w:t>
            </w:r>
            <w:r>
              <w:rPr>
                <w:rFonts w:hint="eastAsia" w:ascii="楷体" w:hAnsi="楷体" w:eastAsia="楷体" w:cs="楷体"/>
                <w:color w:val="FF0000"/>
                <w:vertAlign w:val="baseline"/>
                <w:lang w:val="en-US" w:eastAsia="zh-CN"/>
              </w:rPr>
              <w:t>裁定拍卖、变卖担保财产，当事人依据该裁定</w:t>
            </w:r>
          </w:p>
          <w:p w14:paraId="39BBFA7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可以向人民法院申请执行</w:t>
            </w:r>
          </w:p>
          <w:p w14:paraId="46E767A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2.不符合法律规定的，</w:t>
            </w:r>
            <w:r>
              <w:rPr>
                <w:rFonts w:hint="eastAsia" w:ascii="楷体" w:hAnsi="楷体" w:eastAsia="楷体" w:cs="楷体"/>
                <w:color w:val="FF0000"/>
                <w:vertAlign w:val="baseline"/>
                <w:lang w:val="en-US" w:eastAsia="zh-CN"/>
              </w:rPr>
              <w:t>裁定驳回申请</w:t>
            </w:r>
            <w:r>
              <w:rPr>
                <w:rFonts w:hint="eastAsia" w:ascii="楷体" w:hAnsi="楷体" w:eastAsia="楷体" w:cs="楷体"/>
                <w:vertAlign w:val="baseline"/>
                <w:lang w:val="en-US" w:eastAsia="zh-CN"/>
              </w:rPr>
              <w:t>，当事人可以向人民法院提起诉讼</w:t>
            </w:r>
          </w:p>
        </w:tc>
      </w:tr>
      <w:tr w14:paraId="29F688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36" w:type="pct"/>
            <w:tcBorders>
              <w:tl2br w:val="nil"/>
              <w:tr2bl w:val="nil"/>
            </w:tcBorders>
            <w:vAlign w:val="center"/>
          </w:tcPr>
          <w:p w14:paraId="53307E3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特殊规定</w:t>
            </w:r>
          </w:p>
        </w:tc>
        <w:tc>
          <w:tcPr>
            <w:tcW w:w="4163" w:type="pct"/>
            <w:tcBorders>
              <w:tl2br w:val="nil"/>
              <w:tr2bl w:val="nil"/>
            </w:tcBorders>
          </w:tcPr>
          <w:p w14:paraId="5A7AFA2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1.被担保的债权既有物的担保又有人的担保，当事人对实现担保物权的顺序有约定，</w:t>
            </w:r>
            <w:r>
              <w:rPr>
                <w:rFonts w:hint="eastAsia" w:ascii="楷体" w:hAnsi="楷体" w:eastAsia="楷体" w:cs="楷体"/>
                <w:color w:val="FF0000"/>
                <w:vertAlign w:val="baseline"/>
                <w:lang w:val="en-US" w:eastAsia="zh-CN"/>
              </w:rPr>
              <w:t>实现担保物权的申请违反该约定的，人民法院裁定不予受理</w:t>
            </w:r>
            <w:r>
              <w:rPr>
                <w:rFonts w:hint="eastAsia" w:ascii="楷体" w:hAnsi="楷体" w:eastAsia="楷体" w:cs="楷体"/>
                <w:vertAlign w:val="baseline"/>
                <w:lang w:val="en-US" w:eastAsia="zh-CN"/>
              </w:rPr>
              <w:t>；没有约定或者约定不明的，人民法院应当受理</w:t>
            </w:r>
          </w:p>
          <w:p w14:paraId="295E417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2.同一财产上设立多个担保物权，</w:t>
            </w:r>
            <w:r>
              <w:rPr>
                <w:rFonts w:hint="eastAsia" w:ascii="楷体" w:hAnsi="楷体" w:eastAsia="楷体" w:cs="楷体"/>
                <w:color w:val="FF0000"/>
                <w:vertAlign w:val="baseline"/>
                <w:lang w:val="en-US" w:eastAsia="zh-CN"/>
              </w:rPr>
              <w:t>登记在先的担保物权尚未实现的，不影响后顺位的担保物权人向人民法院申请实现担保物权</w:t>
            </w:r>
          </w:p>
        </w:tc>
      </w:tr>
    </w:tbl>
    <w:p w14:paraId="31165EFE">
      <w:pPr>
        <w:pStyle w:val="3"/>
        <w:bidi w:val="0"/>
        <w:rPr>
          <w:rFonts w:hint="eastAsia" w:ascii="楷体" w:hAnsi="楷体" w:eastAsia="楷体" w:cs="楷体"/>
          <w:lang w:val="en-US" w:eastAsia="zh-CN"/>
        </w:rPr>
      </w:pPr>
      <w:bookmarkStart w:id="42" w:name="_Toc25780"/>
      <w:bookmarkStart w:id="43" w:name="_Toc4671"/>
      <w:bookmarkStart w:id="44" w:name="_Toc3653"/>
      <w:r>
        <w:rPr>
          <w:rFonts w:hint="eastAsia" w:ascii="楷体" w:hAnsi="楷体" w:eastAsia="楷体" w:cs="楷体"/>
          <w:lang w:val="en-US" w:eastAsia="zh-CN"/>
        </w:rPr>
        <w:t>专题十五 督促程序</w:t>
      </w:r>
      <w:bookmarkEnd w:id="42"/>
      <w:bookmarkEnd w:id="43"/>
      <w:bookmarkEnd w:id="44"/>
    </w:p>
    <w:p w14:paraId="4C6A7F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知识点38：督促程序</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75"/>
        <w:gridCol w:w="7247"/>
      </w:tblGrid>
      <w:tr w14:paraId="584AB9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tcBorders>
              <w:tl2br w:val="nil"/>
              <w:tr2bl w:val="nil"/>
            </w:tcBorders>
            <w:vAlign w:val="center"/>
          </w:tcPr>
          <w:p w14:paraId="00C2500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申请支付令的条件</w:t>
            </w:r>
          </w:p>
        </w:tc>
        <w:tc>
          <w:tcPr>
            <w:tcW w:w="4251" w:type="pct"/>
            <w:tcBorders>
              <w:tl2br w:val="nil"/>
              <w:tr2bl w:val="nil"/>
            </w:tcBorders>
          </w:tcPr>
          <w:p w14:paraId="59FF742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1.给付标的为金钱和有价证券</w:t>
            </w:r>
          </w:p>
          <w:p w14:paraId="1553AA1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2.请求给付的金钱和有价证券已到期，且数额确定</w:t>
            </w:r>
          </w:p>
          <w:p w14:paraId="03DA792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3.债权人和债务人之间无其他债务纠纷，债权人没有对待给付义务</w:t>
            </w:r>
          </w:p>
          <w:p w14:paraId="2CC5861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4.债务人在我国境内，且没有下落不明，支付令能送达债务人</w:t>
            </w:r>
          </w:p>
          <w:p w14:paraId="6B7A569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5.债权人未向法院申请诉前保全</w:t>
            </w:r>
          </w:p>
        </w:tc>
      </w:tr>
      <w:tr w14:paraId="647BB5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tcBorders>
              <w:tl2br w:val="nil"/>
              <w:tr2bl w:val="nil"/>
            </w:tcBorders>
            <w:vAlign w:val="center"/>
          </w:tcPr>
          <w:p w14:paraId="5D187C6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4251" w:type="pct"/>
            <w:tcBorders>
              <w:tl2br w:val="nil"/>
              <w:tr2bl w:val="nil"/>
            </w:tcBorders>
          </w:tcPr>
          <w:p w14:paraId="0C8A091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债务人住所地基层法院</w:t>
            </w:r>
          </w:p>
        </w:tc>
      </w:tr>
      <w:tr w14:paraId="6D494BB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tcBorders>
              <w:tl2br w:val="nil"/>
              <w:tr2bl w:val="nil"/>
            </w:tcBorders>
            <w:vAlign w:val="center"/>
          </w:tcPr>
          <w:p w14:paraId="14EF88B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支付令效力</w:t>
            </w:r>
          </w:p>
        </w:tc>
        <w:tc>
          <w:tcPr>
            <w:tcW w:w="4251" w:type="pct"/>
            <w:tcBorders>
              <w:tl2br w:val="nil"/>
              <w:tr2bl w:val="nil"/>
            </w:tcBorders>
          </w:tcPr>
          <w:p w14:paraId="276B4B4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1.债务人应当在</w:t>
            </w:r>
            <w:r>
              <w:rPr>
                <w:rFonts w:hint="eastAsia" w:ascii="楷体" w:hAnsi="楷体" w:eastAsia="楷体" w:cs="楷体"/>
                <w:color w:val="FF0000"/>
                <w:vertAlign w:val="baseline"/>
                <w:lang w:val="en-US" w:eastAsia="zh-CN"/>
              </w:rPr>
              <w:t>收到支付令之日起15日</w:t>
            </w:r>
            <w:r>
              <w:rPr>
                <w:rFonts w:hint="eastAsia" w:ascii="楷体" w:hAnsi="楷体" w:eastAsia="楷体" w:cs="楷体"/>
                <w:vertAlign w:val="baseline"/>
                <w:lang w:val="en-US" w:eastAsia="zh-CN"/>
              </w:rPr>
              <w:t>内清偿债务，或者向法院提出书面异议</w:t>
            </w:r>
          </w:p>
          <w:p w14:paraId="1E57CB1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2.债务人在15日内既不提出异议，又不履行义务，债权人可以向法院申请执行</w:t>
            </w:r>
          </w:p>
        </w:tc>
      </w:tr>
      <w:tr w14:paraId="3B8FBE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vMerge w:val="restart"/>
            <w:tcBorders>
              <w:tl2br w:val="nil"/>
              <w:tr2bl w:val="nil"/>
            </w:tcBorders>
            <w:vAlign w:val="center"/>
          </w:tcPr>
          <w:p w14:paraId="2637477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异议</w:t>
            </w:r>
          </w:p>
        </w:tc>
        <w:tc>
          <w:tcPr>
            <w:tcW w:w="4251" w:type="pct"/>
            <w:tcBorders>
              <w:tl2br w:val="nil"/>
              <w:tr2bl w:val="nil"/>
            </w:tcBorders>
          </w:tcPr>
          <w:p w14:paraId="51A68DF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效力：</w:t>
            </w:r>
            <w:r>
              <w:rPr>
                <w:rFonts w:hint="eastAsia" w:ascii="楷体" w:hAnsi="楷体" w:eastAsia="楷体" w:cs="楷体"/>
                <w:vertAlign w:val="baseline"/>
                <w:lang w:val="en-US" w:eastAsia="zh-CN"/>
              </w:rPr>
              <w:t>法院收到债务人提出的书面异议后，经形式审查，异议成立的，裁定终结督促程序，支付令自行失效；支付令失效的，转入诉讼程序，但申请支付令一方当事人不同意起诉的除外；如申请方当事人不同意起诉，应当自收到终结督促程序裁定之日起七日内向法院提出，否则视为同意转入诉讼程序</w:t>
            </w:r>
          </w:p>
        </w:tc>
      </w:tr>
      <w:tr w14:paraId="5B0804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vMerge w:val="continue"/>
            <w:tcBorders>
              <w:tl2br w:val="nil"/>
              <w:tr2bl w:val="nil"/>
            </w:tcBorders>
          </w:tcPr>
          <w:p w14:paraId="7BC028D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p>
        </w:tc>
        <w:tc>
          <w:tcPr>
            <w:tcW w:w="4251" w:type="pct"/>
            <w:tcBorders>
              <w:tl2br w:val="nil"/>
              <w:tr2bl w:val="nil"/>
            </w:tcBorders>
          </w:tcPr>
          <w:p w14:paraId="45B1842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1.债务人对债务本身没有异议，</w:t>
            </w:r>
            <w:r>
              <w:rPr>
                <w:rFonts w:hint="eastAsia" w:ascii="楷体" w:hAnsi="楷体" w:eastAsia="楷体" w:cs="楷体"/>
                <w:color w:val="FF0000"/>
                <w:vertAlign w:val="baseline"/>
                <w:lang w:val="en-US" w:eastAsia="zh-CN"/>
              </w:rPr>
              <w:t>只是提出缺乏清偿能力、延缓债务清偿期限、变更债务清偿方式等异议的，不构成异议</w:t>
            </w:r>
            <w:r>
              <w:rPr>
                <w:rFonts w:hint="eastAsia" w:ascii="楷体" w:hAnsi="楷体" w:eastAsia="楷体" w:cs="楷体"/>
                <w:vertAlign w:val="baseline"/>
                <w:lang w:val="en-US" w:eastAsia="zh-CN"/>
              </w:rPr>
              <w:t>，不影响支付令效力</w:t>
            </w:r>
          </w:p>
          <w:p w14:paraId="2FC3F33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口头异议无效</w:t>
            </w:r>
          </w:p>
          <w:p w14:paraId="6FE72E4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3.债务人收到支付令后不在法定期间提出书面异议，而向其他法院起诉，</w:t>
            </w:r>
            <w:r>
              <w:rPr>
                <w:rFonts w:hint="eastAsia" w:ascii="楷体" w:hAnsi="楷体" w:eastAsia="楷体" w:cs="楷体"/>
                <w:color w:val="FF0000"/>
                <w:vertAlign w:val="baseline"/>
                <w:lang w:val="en-US" w:eastAsia="zh-CN"/>
              </w:rPr>
              <w:t>不影响支付令效力</w:t>
            </w:r>
          </w:p>
        </w:tc>
      </w:tr>
    </w:tbl>
    <w:p w14:paraId="5CA45FF5">
      <w:pPr>
        <w:pStyle w:val="3"/>
        <w:bidi w:val="0"/>
        <w:rPr>
          <w:rFonts w:hint="eastAsia" w:ascii="楷体" w:hAnsi="楷体" w:eastAsia="楷体" w:cs="楷体"/>
          <w:lang w:val="en-US" w:eastAsia="zh-CN"/>
        </w:rPr>
      </w:pPr>
      <w:bookmarkStart w:id="45" w:name="_Toc17213"/>
      <w:bookmarkStart w:id="46" w:name="_Toc25199"/>
      <w:bookmarkStart w:id="47" w:name="_Toc4352"/>
      <w:r>
        <w:rPr>
          <w:rFonts w:hint="eastAsia" w:ascii="楷体" w:hAnsi="楷体" w:eastAsia="楷体" w:cs="楷体"/>
          <w:lang w:val="en-US" w:eastAsia="zh-CN"/>
        </w:rPr>
        <w:t>专题十六 公示催告程序</w:t>
      </w:r>
      <w:bookmarkEnd w:id="45"/>
      <w:bookmarkEnd w:id="46"/>
      <w:bookmarkEnd w:id="47"/>
    </w:p>
    <w:p w14:paraId="3CC798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知识点39：公示催告程序</w:t>
      </w:r>
    </w:p>
    <w:tbl>
      <w:tblPr>
        <w:tblStyle w:val="12"/>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199"/>
        <w:gridCol w:w="1064"/>
        <w:gridCol w:w="6257"/>
      </w:tblGrid>
      <w:tr w14:paraId="08B401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4" w:type="pct"/>
            <w:tcBorders>
              <w:tl2br w:val="nil"/>
              <w:tr2bl w:val="nil"/>
            </w:tcBorders>
            <w:vAlign w:val="center"/>
          </w:tcPr>
          <w:p w14:paraId="76F204E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适用范围</w:t>
            </w:r>
          </w:p>
        </w:tc>
        <w:tc>
          <w:tcPr>
            <w:tcW w:w="4295" w:type="pct"/>
            <w:gridSpan w:val="2"/>
            <w:tcBorders>
              <w:tl2br w:val="nil"/>
              <w:tr2bl w:val="nil"/>
            </w:tcBorders>
          </w:tcPr>
          <w:p w14:paraId="4874943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申请人是可以背书转让的票据或者其他事项（提单、仓单、股票）被盗、遗失或者灭失前的最后合法持有人，由</w:t>
            </w:r>
            <w:r>
              <w:rPr>
                <w:rFonts w:hint="eastAsia" w:ascii="楷体" w:hAnsi="楷体" w:eastAsia="楷体" w:cs="楷体"/>
                <w:color w:val="FF0000"/>
                <w:vertAlign w:val="baseline"/>
                <w:lang w:val="en-US" w:eastAsia="zh-CN"/>
              </w:rPr>
              <w:t>票据支付地</w:t>
            </w:r>
            <w:r>
              <w:rPr>
                <w:rFonts w:hint="eastAsia" w:ascii="楷体" w:hAnsi="楷体" w:eastAsia="楷体" w:cs="楷体"/>
                <w:vertAlign w:val="baseline"/>
                <w:lang w:val="en-US" w:eastAsia="zh-CN"/>
              </w:rPr>
              <w:t>基层法院管辖</w:t>
            </w:r>
          </w:p>
        </w:tc>
      </w:tr>
      <w:tr w14:paraId="5F8061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4" w:type="pct"/>
            <w:vMerge w:val="restart"/>
            <w:tcBorders>
              <w:tl2br w:val="nil"/>
              <w:tr2bl w:val="nil"/>
            </w:tcBorders>
            <w:vAlign w:val="center"/>
          </w:tcPr>
          <w:p w14:paraId="213E799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审理程序</w:t>
            </w:r>
          </w:p>
        </w:tc>
        <w:tc>
          <w:tcPr>
            <w:tcW w:w="624" w:type="pct"/>
            <w:tcBorders>
              <w:tl2br w:val="nil"/>
              <w:tr2bl w:val="nil"/>
            </w:tcBorders>
            <w:vAlign w:val="center"/>
          </w:tcPr>
          <w:p w14:paraId="3EDBF5A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止付通知</w:t>
            </w:r>
          </w:p>
        </w:tc>
        <w:tc>
          <w:tcPr>
            <w:tcW w:w="3670" w:type="pct"/>
            <w:tcBorders>
              <w:tl2br w:val="nil"/>
              <w:tr2bl w:val="nil"/>
            </w:tcBorders>
          </w:tcPr>
          <w:p w14:paraId="201747D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1.法院决定受理申请，</w:t>
            </w:r>
            <w:r>
              <w:rPr>
                <w:rFonts w:hint="eastAsia" w:ascii="楷体" w:hAnsi="楷体" w:eastAsia="楷体" w:cs="楷体"/>
                <w:color w:val="FF0000"/>
                <w:vertAlign w:val="baseline"/>
                <w:lang w:val="en-US" w:eastAsia="zh-CN"/>
              </w:rPr>
              <w:t>应当同时通知支付人停止支付</w:t>
            </w:r>
            <w:r>
              <w:rPr>
                <w:rFonts w:hint="eastAsia" w:ascii="楷体" w:hAnsi="楷体" w:eastAsia="楷体" w:cs="楷体"/>
                <w:vertAlign w:val="baseline"/>
                <w:lang w:val="en-US" w:eastAsia="zh-CN"/>
              </w:rPr>
              <w:t>，并在三日内公告，催促利害关系人申报权利，公示催告的期间由法院决定，但不得少于60日</w:t>
            </w:r>
          </w:p>
          <w:p w14:paraId="1B70E98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2.支付人收到通知后应停止支付；</w:t>
            </w:r>
            <w:r>
              <w:rPr>
                <w:rFonts w:hint="eastAsia" w:ascii="楷体" w:hAnsi="楷体" w:eastAsia="楷体" w:cs="楷体"/>
                <w:color w:val="FF0000"/>
                <w:vertAlign w:val="baseline"/>
                <w:lang w:val="en-US" w:eastAsia="zh-CN"/>
              </w:rPr>
              <w:t>公示催告期间转让票据行为无效</w:t>
            </w:r>
          </w:p>
        </w:tc>
      </w:tr>
      <w:tr w14:paraId="29066D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4" w:type="pct"/>
            <w:vMerge w:val="continue"/>
            <w:tcBorders>
              <w:tl2br w:val="nil"/>
              <w:tr2bl w:val="nil"/>
            </w:tcBorders>
            <w:vAlign w:val="center"/>
          </w:tcPr>
          <w:p w14:paraId="43234AA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24" w:type="pct"/>
            <w:tcBorders>
              <w:tl2br w:val="nil"/>
              <w:tr2bl w:val="nil"/>
            </w:tcBorders>
            <w:vAlign w:val="center"/>
          </w:tcPr>
          <w:p w14:paraId="61D96E1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法律后果</w:t>
            </w:r>
          </w:p>
        </w:tc>
        <w:tc>
          <w:tcPr>
            <w:tcW w:w="3670" w:type="pct"/>
            <w:tcBorders>
              <w:tl2br w:val="nil"/>
              <w:tr2bl w:val="nil"/>
            </w:tcBorders>
          </w:tcPr>
          <w:p w14:paraId="4EA5F79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1.利害关系人的申报权利——终结公示催告程序</w:t>
            </w:r>
          </w:p>
          <w:p w14:paraId="7FD2DF8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利害关系人应当在公示催告期间（司法解释规定为除权判决作出前）向法院申报权利；法院收到申报后，应裁定终结公示催告程序；申请人和申报人可以通过起诉方式解决争议。法院仅对权利人的申报作形式审查，并要求申请人查验票据：</w:t>
            </w:r>
          </w:p>
          <w:p w14:paraId="0856424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（1）如申报的票据与公示催告的票据一致，则申报成立，法院裁定终结公示催告程序</w:t>
            </w:r>
          </w:p>
          <w:p w14:paraId="2FBCEB0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（2）如果申报的票据与公示催告的票据不一致，申报不成立，法院驳回申报</w:t>
            </w:r>
          </w:p>
          <w:p w14:paraId="24642D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color w:val="FF0000"/>
                <w:vertAlign w:val="baseline"/>
                <w:lang w:val="en-US" w:eastAsia="zh-CN"/>
              </w:rPr>
              <w:t>2.无人申报权利——除权判决</w:t>
            </w:r>
          </w:p>
          <w:p w14:paraId="135B71D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在公示催告期间无人申报，或者申报被驳回，法院根据申请人申请，判决宣告票据无效；判决应当公告，自判决公告之日起，申请人有权向支付人请求支付，支付人拒绝支付的，申请人有权向法院起诉</w:t>
            </w:r>
          </w:p>
        </w:tc>
      </w:tr>
      <w:tr w14:paraId="0F0A4B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4" w:type="pct"/>
            <w:vMerge w:val="continue"/>
            <w:tcBorders>
              <w:tl2br w:val="nil"/>
              <w:tr2bl w:val="nil"/>
            </w:tcBorders>
            <w:vAlign w:val="center"/>
          </w:tcPr>
          <w:p w14:paraId="2F79690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24" w:type="pct"/>
            <w:tcBorders>
              <w:tl2br w:val="nil"/>
              <w:tr2bl w:val="nil"/>
            </w:tcBorders>
            <w:vAlign w:val="center"/>
          </w:tcPr>
          <w:p w14:paraId="0823A970">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审理组织</w:t>
            </w:r>
          </w:p>
        </w:tc>
        <w:tc>
          <w:tcPr>
            <w:tcW w:w="3670" w:type="pct"/>
            <w:tcBorders>
              <w:tl2br w:val="nil"/>
              <w:tr2bl w:val="nil"/>
            </w:tcBorders>
          </w:tcPr>
          <w:p w14:paraId="3227D87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1.公示催告阶段由审判员一人独任审理</w:t>
            </w:r>
          </w:p>
          <w:p w14:paraId="78BF7AC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2.判决宣告票据无效的，应当组成合议庭审理</w:t>
            </w:r>
          </w:p>
        </w:tc>
      </w:tr>
      <w:tr w14:paraId="5F005F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04" w:type="pct"/>
            <w:tcBorders>
              <w:tl2br w:val="nil"/>
              <w:tr2bl w:val="nil"/>
            </w:tcBorders>
            <w:vAlign w:val="center"/>
          </w:tcPr>
          <w:p w14:paraId="04D4B09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救济</w:t>
            </w:r>
          </w:p>
        </w:tc>
        <w:tc>
          <w:tcPr>
            <w:tcW w:w="4295" w:type="pct"/>
            <w:gridSpan w:val="2"/>
            <w:tcBorders>
              <w:tl2br w:val="nil"/>
              <w:tr2bl w:val="nil"/>
            </w:tcBorders>
          </w:tcPr>
          <w:p w14:paraId="0D5C445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利害关系人因正当理由不能在判决前向人民法院申报的，</w:t>
            </w:r>
            <w:r>
              <w:rPr>
                <w:rFonts w:hint="eastAsia" w:ascii="楷体" w:hAnsi="楷体" w:eastAsia="楷体" w:cs="楷体"/>
                <w:color w:val="FF0000"/>
                <w:vertAlign w:val="baseline"/>
                <w:lang w:val="en-US" w:eastAsia="zh-CN"/>
              </w:rPr>
              <w:t>自知道或者应当知道判决公告之日起一年内</w:t>
            </w:r>
            <w:r>
              <w:rPr>
                <w:rFonts w:hint="eastAsia" w:ascii="楷体" w:hAnsi="楷体" w:eastAsia="楷体" w:cs="楷体"/>
                <w:vertAlign w:val="baseline"/>
                <w:lang w:val="en-US" w:eastAsia="zh-CN"/>
              </w:rPr>
              <w:t>，可以向作出判决的人民法院起诉</w:t>
            </w:r>
          </w:p>
        </w:tc>
      </w:tr>
    </w:tbl>
    <w:p w14:paraId="06E6CF9D">
      <w:pPr>
        <w:pStyle w:val="3"/>
        <w:bidi w:val="0"/>
        <w:rPr>
          <w:rFonts w:hint="eastAsia" w:ascii="楷体" w:hAnsi="楷体" w:eastAsia="楷体" w:cs="楷体"/>
          <w:lang w:val="en-US" w:eastAsia="zh-CN"/>
        </w:rPr>
      </w:pPr>
      <w:bookmarkStart w:id="48" w:name="_Toc27585"/>
      <w:bookmarkStart w:id="49" w:name="_Toc26341"/>
      <w:bookmarkStart w:id="50" w:name="_Toc17137"/>
      <w:r>
        <w:rPr>
          <w:rFonts w:hint="eastAsia" w:ascii="楷体" w:hAnsi="楷体" w:eastAsia="楷体" w:cs="楷体"/>
          <w:lang w:val="en-US" w:eastAsia="zh-CN"/>
        </w:rPr>
        <w:t>专题十七 执行程序</w:t>
      </w:r>
      <w:bookmarkEnd w:id="48"/>
      <w:bookmarkEnd w:id="49"/>
      <w:bookmarkEnd w:id="50"/>
    </w:p>
    <w:p w14:paraId="48C995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知识点40：执行开始</w:t>
      </w:r>
    </w:p>
    <w:tbl>
      <w:tblPr>
        <w:tblStyle w:val="12"/>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43"/>
        <w:gridCol w:w="1186"/>
        <w:gridCol w:w="5990"/>
      </w:tblGrid>
      <w:tr w14:paraId="3A5987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tcBorders>
              <w:tl2br w:val="nil"/>
              <w:tr2bl w:val="nil"/>
            </w:tcBorders>
            <w:vAlign w:val="center"/>
          </w:tcPr>
          <w:p w14:paraId="6FABB09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执行根据</w:t>
            </w:r>
          </w:p>
        </w:tc>
        <w:tc>
          <w:tcPr>
            <w:tcW w:w="4211" w:type="pct"/>
            <w:gridSpan w:val="2"/>
            <w:tcBorders>
              <w:tl2br w:val="nil"/>
              <w:tr2bl w:val="nil"/>
            </w:tcBorders>
          </w:tcPr>
          <w:p w14:paraId="1C0416D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1.法院制作的具有执行内容的生效法律文书，包括</w:t>
            </w:r>
            <w:r>
              <w:rPr>
                <w:rFonts w:hint="eastAsia" w:ascii="楷体" w:hAnsi="楷体" w:eastAsia="楷体" w:cs="楷体"/>
                <w:color w:val="FF0000"/>
                <w:vertAlign w:val="baseline"/>
                <w:lang w:val="en-US" w:eastAsia="zh-CN"/>
              </w:rPr>
              <w:t>民事、行政判决、裁定、调解书与支付令</w:t>
            </w:r>
            <w:r>
              <w:rPr>
                <w:rFonts w:hint="eastAsia" w:ascii="楷体" w:hAnsi="楷体" w:eastAsia="楷体" w:cs="楷体"/>
                <w:vertAlign w:val="baseline"/>
                <w:lang w:val="en-US" w:eastAsia="zh-CN"/>
              </w:rPr>
              <w:t>，刑事裁判中的</w:t>
            </w:r>
            <w:r>
              <w:rPr>
                <w:rFonts w:hint="eastAsia" w:ascii="楷体" w:hAnsi="楷体" w:eastAsia="楷体" w:cs="楷体"/>
                <w:color w:val="FF0000"/>
                <w:vertAlign w:val="baseline"/>
                <w:lang w:val="en-US" w:eastAsia="zh-CN"/>
              </w:rPr>
              <w:t>财产部分</w:t>
            </w:r>
          </w:p>
          <w:p w14:paraId="0E6BCB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2.其他机关制作的由法院执行的法律文书，包括公证机关依法赋予强制执行效力的债权文书，仲裁机构制作的依法由法院强制执行的仲裁裁决书</w:t>
            </w:r>
          </w:p>
          <w:p w14:paraId="71631BA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3.法院制作的承认并执行外国法院判决、裁定或者外国仲裁机构裁决的裁定书</w:t>
            </w:r>
          </w:p>
        </w:tc>
      </w:tr>
      <w:tr w14:paraId="519F56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vMerge w:val="restart"/>
            <w:tcBorders>
              <w:tl2br w:val="nil"/>
              <w:tr2bl w:val="nil"/>
            </w:tcBorders>
            <w:vAlign w:val="center"/>
          </w:tcPr>
          <w:p w14:paraId="1141CC2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执行启动</w:t>
            </w:r>
          </w:p>
        </w:tc>
        <w:tc>
          <w:tcPr>
            <w:tcW w:w="696" w:type="pct"/>
            <w:tcBorders>
              <w:tl2br w:val="nil"/>
              <w:tr2bl w:val="nil"/>
            </w:tcBorders>
            <w:vAlign w:val="center"/>
          </w:tcPr>
          <w:p w14:paraId="4E0C57C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移送执行</w:t>
            </w:r>
          </w:p>
        </w:tc>
        <w:tc>
          <w:tcPr>
            <w:tcW w:w="3515" w:type="pct"/>
            <w:tcBorders>
              <w:tl2br w:val="nil"/>
              <w:tr2bl w:val="nil"/>
            </w:tcBorders>
          </w:tcPr>
          <w:p w14:paraId="49A6F21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生效的法律文书执行，</w:t>
            </w:r>
            <w:r>
              <w:rPr>
                <w:rFonts w:hint="eastAsia" w:ascii="楷体" w:hAnsi="楷体" w:eastAsia="楷体" w:cs="楷体"/>
                <w:color w:val="FF0000"/>
                <w:vertAlign w:val="baseline"/>
                <w:lang w:val="en-US" w:eastAsia="zh-CN"/>
              </w:rPr>
              <w:t>一般应由当事人依法提出申请</w:t>
            </w:r>
            <w:r>
              <w:rPr>
                <w:rFonts w:hint="eastAsia" w:ascii="楷体" w:hAnsi="楷体" w:eastAsia="楷体" w:cs="楷体"/>
                <w:vertAlign w:val="baseline"/>
                <w:lang w:val="en-US" w:eastAsia="zh-CN"/>
              </w:rPr>
              <w:t>，但是下列生效文书可以</w:t>
            </w:r>
            <w:r>
              <w:rPr>
                <w:rFonts w:hint="eastAsia" w:ascii="楷体" w:hAnsi="楷体" w:eastAsia="楷体" w:cs="楷体"/>
                <w:color w:val="FF0000"/>
                <w:vertAlign w:val="baseline"/>
                <w:lang w:val="en-US" w:eastAsia="zh-CN"/>
              </w:rPr>
              <w:t>直接由审判庭移送执行机构执行</w:t>
            </w:r>
            <w:r>
              <w:rPr>
                <w:rFonts w:hint="eastAsia" w:ascii="楷体" w:hAnsi="楷体" w:eastAsia="楷体" w:cs="楷体"/>
                <w:vertAlign w:val="baseline"/>
                <w:lang w:val="en-US" w:eastAsia="zh-CN"/>
              </w:rPr>
              <w:t>：</w:t>
            </w:r>
          </w:p>
          <w:p w14:paraId="52989BB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1.生效的具有给付赡养费、扶养费、抚养费内容的法律文书</w:t>
            </w:r>
          </w:p>
          <w:p w14:paraId="6419CD3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2.民事制裁决定书</w:t>
            </w:r>
          </w:p>
          <w:p w14:paraId="2DA43C9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3.刑事附带民事判决、裁定、调解书</w:t>
            </w:r>
          </w:p>
          <w:p w14:paraId="6485713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4.环保公益诉讼、检察机关提起的公益诉讼的判决、裁定</w:t>
            </w:r>
          </w:p>
        </w:tc>
      </w:tr>
      <w:tr w14:paraId="713542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vMerge w:val="continue"/>
            <w:tcBorders>
              <w:tl2br w:val="nil"/>
              <w:tr2bl w:val="nil"/>
            </w:tcBorders>
            <w:vAlign w:val="center"/>
          </w:tcPr>
          <w:p w14:paraId="01EA8BA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96" w:type="pct"/>
            <w:tcBorders>
              <w:tl2br w:val="nil"/>
              <w:tr2bl w:val="nil"/>
            </w:tcBorders>
            <w:vAlign w:val="center"/>
          </w:tcPr>
          <w:p w14:paraId="59D9845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申请执行</w:t>
            </w:r>
          </w:p>
        </w:tc>
        <w:tc>
          <w:tcPr>
            <w:tcW w:w="3515" w:type="pct"/>
            <w:tcBorders>
              <w:tl2br w:val="nil"/>
              <w:tr2bl w:val="nil"/>
            </w:tcBorders>
          </w:tcPr>
          <w:p w14:paraId="2C91C5E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当事人申请人民法院执行的生效法律文书应当具备下列条件：</w:t>
            </w:r>
            <w:r>
              <w:rPr>
                <w:rFonts w:hint="eastAsia" w:ascii="楷体" w:hAnsi="楷体" w:eastAsia="楷体" w:cs="楷体"/>
                <w:color w:val="FF0000"/>
                <w:vertAlign w:val="baseline"/>
                <w:lang w:val="en-US" w:eastAsia="zh-CN"/>
              </w:rPr>
              <w:t>权利义务主体明确；给付内容明确</w:t>
            </w:r>
            <w:r>
              <w:rPr>
                <w:rFonts w:hint="eastAsia" w:ascii="楷体" w:hAnsi="楷体" w:eastAsia="楷体" w:cs="楷体"/>
                <w:vertAlign w:val="baseline"/>
                <w:lang w:val="en-US" w:eastAsia="zh-CN"/>
              </w:rPr>
              <w:t>。法律文书确定继续履行合同的，应当明确继续履行的具体内容</w:t>
            </w:r>
          </w:p>
        </w:tc>
      </w:tr>
      <w:tr w14:paraId="2DF5FC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vMerge w:val="continue"/>
            <w:tcBorders>
              <w:tl2br w:val="nil"/>
              <w:tr2bl w:val="nil"/>
            </w:tcBorders>
            <w:vAlign w:val="center"/>
          </w:tcPr>
          <w:p w14:paraId="4DEE8C2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96" w:type="pct"/>
            <w:tcBorders>
              <w:tl2br w:val="nil"/>
              <w:tr2bl w:val="nil"/>
            </w:tcBorders>
            <w:vAlign w:val="center"/>
          </w:tcPr>
          <w:p w14:paraId="388D081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时效</w:t>
            </w:r>
          </w:p>
        </w:tc>
        <w:tc>
          <w:tcPr>
            <w:tcW w:w="3515" w:type="pct"/>
            <w:tcBorders>
              <w:tl2br w:val="nil"/>
              <w:tr2bl w:val="nil"/>
            </w:tcBorders>
          </w:tcPr>
          <w:p w14:paraId="3C4F293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2年</w:t>
            </w:r>
          </w:p>
        </w:tc>
      </w:tr>
      <w:tr w14:paraId="604AE3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vMerge w:val="restart"/>
            <w:tcBorders>
              <w:tl2br w:val="nil"/>
              <w:tr2bl w:val="nil"/>
            </w:tcBorders>
            <w:vAlign w:val="center"/>
          </w:tcPr>
          <w:p w14:paraId="1D00D5F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执行管辖</w:t>
            </w:r>
          </w:p>
        </w:tc>
        <w:tc>
          <w:tcPr>
            <w:tcW w:w="696" w:type="pct"/>
            <w:tcBorders>
              <w:tl2br w:val="nil"/>
              <w:tr2bl w:val="nil"/>
            </w:tcBorders>
            <w:vAlign w:val="center"/>
          </w:tcPr>
          <w:p w14:paraId="4310AFC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确定管辖</w:t>
            </w:r>
          </w:p>
        </w:tc>
        <w:tc>
          <w:tcPr>
            <w:tcW w:w="3515" w:type="pct"/>
            <w:tcBorders>
              <w:tl2br w:val="nil"/>
              <w:tr2bl w:val="nil"/>
            </w:tcBorders>
          </w:tcPr>
          <w:p w14:paraId="600FD70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1.生效的民事判决、裁定、调解书，以及刑事判决、裁定的财产部分，由</w:t>
            </w:r>
            <w:r>
              <w:rPr>
                <w:rFonts w:hint="eastAsia" w:ascii="楷体" w:hAnsi="楷体" w:eastAsia="楷体" w:cs="楷体"/>
                <w:color w:val="FF0000"/>
                <w:vertAlign w:val="baseline"/>
                <w:lang w:val="en-US" w:eastAsia="zh-CN"/>
              </w:rPr>
              <w:t>第一审法院或者与第一审法院同级的被执行财产所在地法院</w:t>
            </w:r>
            <w:r>
              <w:rPr>
                <w:rFonts w:hint="eastAsia" w:ascii="楷体" w:hAnsi="楷体" w:eastAsia="楷体" w:cs="楷体"/>
                <w:vertAlign w:val="baseline"/>
                <w:lang w:val="en-US" w:eastAsia="zh-CN"/>
              </w:rPr>
              <w:t>执行</w:t>
            </w:r>
          </w:p>
          <w:p w14:paraId="3DBBDDC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2.发生法律效力的实现担保物权裁定、确认调解协议效力裁定、支付令由</w:t>
            </w:r>
            <w:r>
              <w:rPr>
                <w:rFonts w:hint="eastAsia" w:ascii="楷体" w:hAnsi="楷体" w:eastAsia="楷体" w:cs="楷体"/>
                <w:color w:val="FF0000"/>
                <w:vertAlign w:val="baseline"/>
                <w:lang w:val="en-US" w:eastAsia="zh-CN"/>
              </w:rPr>
              <w:t>作出该裁定、支付令的法院或者与之同级的被执行财产所在地法院</w:t>
            </w:r>
            <w:r>
              <w:rPr>
                <w:rFonts w:hint="eastAsia" w:ascii="楷体" w:hAnsi="楷体" w:eastAsia="楷体" w:cs="楷体"/>
                <w:vertAlign w:val="baseline"/>
                <w:lang w:val="en-US" w:eastAsia="zh-CN"/>
              </w:rPr>
              <w:t>执行</w:t>
            </w:r>
          </w:p>
          <w:p w14:paraId="758E60F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3.法律规定由法院执行的其他法律文书，由</w:t>
            </w:r>
            <w:r>
              <w:rPr>
                <w:rFonts w:hint="eastAsia" w:ascii="楷体" w:hAnsi="楷体" w:eastAsia="楷体" w:cs="楷体"/>
                <w:color w:val="FF0000"/>
                <w:vertAlign w:val="baseline"/>
                <w:lang w:val="en-US" w:eastAsia="zh-CN"/>
              </w:rPr>
              <w:t>被执行人住所地或者被执行财产所在地法院</w:t>
            </w:r>
            <w:r>
              <w:rPr>
                <w:rFonts w:hint="eastAsia" w:ascii="楷体" w:hAnsi="楷体" w:eastAsia="楷体" w:cs="楷体"/>
                <w:vertAlign w:val="baseline"/>
                <w:lang w:val="en-US" w:eastAsia="zh-CN"/>
              </w:rPr>
              <w:t>执行</w:t>
            </w:r>
          </w:p>
        </w:tc>
      </w:tr>
      <w:tr w14:paraId="179ADC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vMerge w:val="continue"/>
            <w:tcBorders>
              <w:tl2br w:val="nil"/>
              <w:tr2bl w:val="nil"/>
            </w:tcBorders>
            <w:vAlign w:val="center"/>
          </w:tcPr>
          <w:p w14:paraId="05CDED0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96" w:type="pct"/>
            <w:tcBorders>
              <w:tl2br w:val="nil"/>
              <w:tr2bl w:val="nil"/>
            </w:tcBorders>
            <w:vAlign w:val="center"/>
          </w:tcPr>
          <w:p w14:paraId="7142FE2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共同管辖</w:t>
            </w:r>
          </w:p>
        </w:tc>
        <w:tc>
          <w:tcPr>
            <w:tcW w:w="3515" w:type="pct"/>
            <w:tcBorders>
              <w:tl2br w:val="nil"/>
              <w:tr2bl w:val="nil"/>
            </w:tcBorders>
          </w:tcPr>
          <w:p w14:paraId="388B960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两个以上法院都有管辖权的，当事人可以向其中一个法院申请执行，当事人向两个以上法院申请执行的，</w:t>
            </w:r>
            <w:r>
              <w:rPr>
                <w:rFonts w:hint="eastAsia" w:ascii="楷体" w:hAnsi="楷体" w:eastAsia="楷体" w:cs="楷体"/>
                <w:color w:val="FF0000"/>
                <w:vertAlign w:val="baseline"/>
                <w:lang w:val="en-US" w:eastAsia="zh-CN"/>
              </w:rPr>
              <w:t>由最先立案的法院管辖</w:t>
            </w:r>
            <w:r>
              <w:rPr>
                <w:rFonts w:hint="eastAsia" w:ascii="楷体" w:hAnsi="楷体" w:eastAsia="楷体" w:cs="楷体"/>
                <w:vertAlign w:val="baseline"/>
                <w:lang w:val="en-US" w:eastAsia="zh-CN"/>
              </w:rPr>
              <w:t>，法院在立案前发现其他有管辖权的人民法院已经立案的，不得重复立案；立案后发现其他有管辖权的法院已经立案的，</w:t>
            </w:r>
            <w:r>
              <w:rPr>
                <w:rFonts w:hint="eastAsia" w:ascii="楷体" w:hAnsi="楷体" w:eastAsia="楷体" w:cs="楷体"/>
                <w:color w:val="FF0000"/>
                <w:vertAlign w:val="baseline"/>
                <w:lang w:val="en-US" w:eastAsia="zh-CN"/>
              </w:rPr>
              <w:t>应当撤销案件</w:t>
            </w:r>
            <w:r>
              <w:rPr>
                <w:rFonts w:hint="eastAsia" w:ascii="楷体" w:hAnsi="楷体" w:eastAsia="楷体" w:cs="楷体"/>
                <w:vertAlign w:val="baseline"/>
                <w:lang w:val="en-US" w:eastAsia="zh-CN"/>
              </w:rPr>
              <w:t>；已经采取执行措施的，应当将控制的财产</w:t>
            </w:r>
            <w:r>
              <w:rPr>
                <w:rFonts w:hint="eastAsia" w:ascii="楷体" w:hAnsi="楷体" w:eastAsia="楷体" w:cs="楷体"/>
                <w:color w:val="FF0000"/>
                <w:vertAlign w:val="baseline"/>
                <w:lang w:val="en-US" w:eastAsia="zh-CN"/>
              </w:rPr>
              <w:t>移交先立案的法院</w:t>
            </w:r>
            <w:r>
              <w:rPr>
                <w:rFonts w:hint="eastAsia" w:ascii="楷体" w:hAnsi="楷体" w:eastAsia="楷体" w:cs="楷体"/>
                <w:vertAlign w:val="baseline"/>
                <w:lang w:val="en-US" w:eastAsia="zh-CN"/>
              </w:rPr>
              <w:t>处理</w:t>
            </w:r>
          </w:p>
        </w:tc>
      </w:tr>
      <w:tr w14:paraId="4761A3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8" w:type="pct"/>
            <w:vMerge w:val="continue"/>
            <w:tcBorders>
              <w:tl2br w:val="nil"/>
              <w:tr2bl w:val="nil"/>
            </w:tcBorders>
            <w:vAlign w:val="center"/>
          </w:tcPr>
          <w:p w14:paraId="14925A57">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96" w:type="pct"/>
            <w:tcBorders>
              <w:tl2br w:val="nil"/>
              <w:tr2bl w:val="nil"/>
            </w:tcBorders>
            <w:vAlign w:val="center"/>
          </w:tcPr>
          <w:p w14:paraId="5E2C36C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管辖异议</w:t>
            </w:r>
          </w:p>
        </w:tc>
        <w:tc>
          <w:tcPr>
            <w:tcW w:w="3515" w:type="pct"/>
            <w:tcBorders>
              <w:tl2br w:val="nil"/>
              <w:tr2bl w:val="nil"/>
            </w:tcBorders>
          </w:tcPr>
          <w:p w14:paraId="249C007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1.异议的提出：收到执行通知书之日起10日内</w:t>
            </w:r>
          </w:p>
          <w:p w14:paraId="5281D44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2.异议的处理：</w:t>
            </w:r>
            <w:r>
              <w:rPr>
                <w:rFonts w:hint="eastAsia" w:ascii="楷体" w:hAnsi="楷体" w:eastAsia="楷体" w:cs="楷体"/>
                <w:color w:val="FF0000"/>
                <w:vertAlign w:val="baseline"/>
                <w:lang w:val="en-US" w:eastAsia="zh-CN"/>
              </w:rPr>
              <w:t>异议成立——撤销执行案件，告知当事人向有管辖权的法院申请执行；异议不成立——裁定驳回</w:t>
            </w:r>
          </w:p>
          <w:p w14:paraId="2B22CA5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3.救济：当事人对执行管辖权异议的裁定不服，可以向上一级法院申请</w:t>
            </w:r>
            <w:r>
              <w:rPr>
                <w:rFonts w:hint="eastAsia" w:ascii="楷体" w:hAnsi="楷体" w:eastAsia="楷体" w:cs="楷体"/>
                <w:color w:val="FF0000"/>
                <w:vertAlign w:val="baseline"/>
                <w:lang w:val="en-US" w:eastAsia="zh-CN"/>
              </w:rPr>
              <w:t>复议</w:t>
            </w:r>
          </w:p>
        </w:tc>
      </w:tr>
    </w:tbl>
    <w:p w14:paraId="678E8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知识点41：执行和解</w:t>
      </w:r>
    </w:p>
    <w:tbl>
      <w:tblPr>
        <w:tblStyle w:val="12"/>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29"/>
        <w:gridCol w:w="7190"/>
      </w:tblGrid>
      <w:tr w14:paraId="254460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0" w:type="pct"/>
            <w:tcBorders>
              <w:tl2br w:val="nil"/>
              <w:tr2bl w:val="nil"/>
            </w:tcBorders>
            <w:vAlign w:val="center"/>
          </w:tcPr>
          <w:p w14:paraId="0C9101C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和解协议</w:t>
            </w:r>
          </w:p>
        </w:tc>
        <w:tc>
          <w:tcPr>
            <w:tcW w:w="4219" w:type="pct"/>
            <w:tcBorders>
              <w:tl2br w:val="nil"/>
              <w:tr2bl w:val="nil"/>
            </w:tcBorders>
          </w:tcPr>
          <w:p w14:paraId="10B6497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执行过程中双方当事人自行达成和解协议，执行员将协议内容记入笔录，双方当事人签名盖章。执行中</w:t>
            </w:r>
            <w:r>
              <w:rPr>
                <w:rFonts w:hint="eastAsia" w:ascii="楷体" w:hAnsi="楷体" w:eastAsia="楷体" w:cs="楷体"/>
                <w:color w:val="FF0000"/>
                <w:vertAlign w:val="baseline"/>
                <w:lang w:val="en-US" w:eastAsia="zh-CN"/>
              </w:rPr>
              <w:t>不允许根据和解协议制作调解书、也不允许根据和解协议下达以物抵债裁定书</w:t>
            </w:r>
          </w:p>
        </w:tc>
      </w:tr>
      <w:tr w14:paraId="0BF0D1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0" w:type="pct"/>
            <w:tcBorders>
              <w:tl2br w:val="nil"/>
              <w:tr2bl w:val="nil"/>
            </w:tcBorders>
            <w:vAlign w:val="center"/>
          </w:tcPr>
          <w:p w14:paraId="65807C2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和解形式</w:t>
            </w:r>
          </w:p>
        </w:tc>
        <w:tc>
          <w:tcPr>
            <w:tcW w:w="4219" w:type="pct"/>
            <w:tcBorders>
              <w:tl2br w:val="nil"/>
              <w:tr2bl w:val="nil"/>
            </w:tcBorders>
          </w:tcPr>
          <w:p w14:paraId="2E2B4B5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1.各方当事人共同向法院提交书面和解协议的</w:t>
            </w:r>
          </w:p>
          <w:p w14:paraId="195DB2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2.一方当事人向法院提交书面和解协议，其他当事人予以认可的</w:t>
            </w:r>
          </w:p>
          <w:p w14:paraId="7D27756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3.当事人达成口头和解协议，执行人员将和解协议内容记入笔录，由各方当事人签名、盖章</w:t>
            </w:r>
          </w:p>
        </w:tc>
      </w:tr>
      <w:tr w14:paraId="5FF0D5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0" w:type="pct"/>
            <w:tcBorders>
              <w:tl2br w:val="nil"/>
              <w:tr2bl w:val="nil"/>
            </w:tcBorders>
            <w:vAlign w:val="center"/>
          </w:tcPr>
          <w:p w14:paraId="14BFF8B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和解效果</w:t>
            </w:r>
          </w:p>
        </w:tc>
        <w:tc>
          <w:tcPr>
            <w:tcW w:w="4219" w:type="pct"/>
            <w:tcBorders>
              <w:tl2br w:val="nil"/>
              <w:tr2bl w:val="nil"/>
            </w:tcBorders>
          </w:tcPr>
          <w:p w14:paraId="6DFDD4F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达成和解协议后，法院</w:t>
            </w:r>
            <w:r>
              <w:rPr>
                <w:rFonts w:hint="eastAsia" w:ascii="楷体" w:hAnsi="楷体" w:eastAsia="楷体" w:cs="楷体"/>
                <w:color w:val="FF0000"/>
                <w:vertAlign w:val="baseline"/>
                <w:lang w:val="en-US" w:eastAsia="zh-CN"/>
              </w:rPr>
              <w:t>裁定中止执行</w:t>
            </w:r>
            <w:r>
              <w:rPr>
                <w:rFonts w:hint="eastAsia" w:ascii="楷体" w:hAnsi="楷体" w:eastAsia="楷体" w:cs="楷体"/>
                <w:vertAlign w:val="baseline"/>
                <w:lang w:val="en-US" w:eastAsia="zh-CN"/>
              </w:rPr>
              <w:t>，申请人可以申请解除查封、扣押、冻结</w:t>
            </w:r>
          </w:p>
        </w:tc>
      </w:tr>
      <w:tr w14:paraId="42337B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0" w:type="pct"/>
            <w:tcBorders>
              <w:tl2br w:val="nil"/>
              <w:tr2bl w:val="nil"/>
            </w:tcBorders>
            <w:vAlign w:val="center"/>
          </w:tcPr>
          <w:p w14:paraId="5905C83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法律后果</w:t>
            </w:r>
          </w:p>
        </w:tc>
        <w:tc>
          <w:tcPr>
            <w:tcW w:w="4219" w:type="pct"/>
            <w:tcBorders>
              <w:tl2br w:val="nil"/>
              <w:tr2bl w:val="nil"/>
            </w:tcBorders>
          </w:tcPr>
          <w:p w14:paraId="4923741C">
            <w:pPr>
              <w:keepNext w:val="0"/>
              <w:keepLines w:val="0"/>
              <w:pageBreakBefore w:val="0"/>
              <w:widowControl/>
              <w:suppressLineNumbers w:val="0"/>
              <w:kinsoku/>
              <w:wordWrap/>
              <w:overflowPunct/>
              <w:topLinePunct w:val="0"/>
              <w:autoSpaceDE/>
              <w:autoSpaceDN/>
              <w:bidi w:val="0"/>
              <w:adjustRightInd/>
              <w:snapToGrid/>
              <w:spacing w:line="380" w:lineRule="exact"/>
              <w:jc w:val="left"/>
              <w:textAlignment w:val="auto"/>
              <w:rPr>
                <w:rFonts w:hint="eastAsia" w:ascii="楷体" w:hAnsi="楷体" w:eastAsia="楷体" w:cs="楷体"/>
              </w:rPr>
            </w:pPr>
            <w:r>
              <w:rPr>
                <w:rFonts w:hint="eastAsia" w:ascii="楷体" w:hAnsi="楷体" w:eastAsia="楷体" w:cs="楷体"/>
                <w:vertAlign w:val="baseline"/>
                <w:lang w:val="en-US" w:eastAsia="zh-CN"/>
              </w:rPr>
              <w:t>1</w:t>
            </w:r>
            <w:r>
              <w:rPr>
                <w:rFonts w:hint="eastAsia" w:ascii="楷体" w:hAnsi="楷体" w:eastAsia="楷体" w:cs="楷体"/>
                <w:color w:val="000000"/>
                <w:kern w:val="0"/>
                <w:sz w:val="21"/>
                <w:szCs w:val="21"/>
                <w:lang w:val="en-US" w:eastAsia="zh-CN" w:bidi="ar"/>
              </w:rPr>
              <w:t>.</w:t>
            </w:r>
            <w:r>
              <w:rPr>
                <w:rFonts w:hint="eastAsia" w:ascii="楷体" w:hAnsi="楷体" w:eastAsia="楷体" w:cs="楷体"/>
                <w:color w:val="FF0000"/>
                <w:kern w:val="0"/>
                <w:sz w:val="21"/>
                <w:szCs w:val="21"/>
                <w:lang w:val="en-US" w:eastAsia="zh-CN" w:bidi="ar"/>
              </w:rPr>
              <w:t>和解协议履行完毕——法院作执行结案处理，即裁定执行终结</w:t>
            </w:r>
            <w:r>
              <w:rPr>
                <w:rFonts w:hint="eastAsia" w:ascii="楷体" w:hAnsi="楷体" w:eastAsia="楷体" w:cs="楷体"/>
                <w:color w:val="000000"/>
                <w:kern w:val="0"/>
                <w:sz w:val="21"/>
                <w:szCs w:val="21"/>
                <w:lang w:val="en-US" w:eastAsia="zh-CN" w:bidi="ar"/>
              </w:rPr>
              <w:t>。但因被执行人迟延履</w:t>
            </w:r>
            <w:r>
              <w:rPr>
                <w:rFonts w:hint="eastAsia" w:ascii="楷体" w:hAnsi="楷体" w:eastAsia="楷体" w:cs="楷体"/>
                <w:color w:val="000000"/>
                <w:kern w:val="0"/>
                <w:sz w:val="23"/>
                <w:szCs w:val="23"/>
                <w:lang w:val="en-US" w:eastAsia="zh-CN" w:bidi="ar"/>
              </w:rPr>
              <w:t>行、瑕疵履行遭受损害的，申请人可以向执行法院另行提起诉讼</w:t>
            </w:r>
          </w:p>
          <w:p w14:paraId="24E883CA">
            <w:pPr>
              <w:keepNext w:val="0"/>
              <w:keepLines w:val="0"/>
              <w:pageBreakBefore w:val="0"/>
              <w:widowControl/>
              <w:suppressLineNumbers w:val="0"/>
              <w:kinsoku/>
              <w:wordWrap/>
              <w:overflowPunct/>
              <w:topLinePunct w:val="0"/>
              <w:autoSpaceDE/>
              <w:autoSpaceDN/>
              <w:bidi w:val="0"/>
              <w:adjustRightInd/>
              <w:snapToGrid/>
              <w:spacing w:line="380" w:lineRule="exact"/>
              <w:jc w:val="left"/>
              <w:textAlignment w:val="auto"/>
              <w:rPr>
                <w:rFonts w:hint="eastAsia" w:ascii="楷体" w:hAnsi="楷体" w:eastAsia="楷体" w:cs="楷体"/>
                <w:color w:val="000000"/>
                <w:kern w:val="0"/>
                <w:sz w:val="22"/>
                <w:szCs w:val="22"/>
                <w:lang w:val="en-US" w:eastAsia="zh-CN" w:bidi="ar"/>
              </w:rPr>
            </w:pPr>
            <w:r>
              <w:rPr>
                <w:rFonts w:hint="eastAsia" w:ascii="楷体" w:hAnsi="楷体" w:eastAsia="楷体" w:cs="楷体"/>
                <w:vertAlign w:val="baseline"/>
                <w:lang w:val="en-US" w:eastAsia="zh-CN"/>
              </w:rPr>
              <w:t>2</w:t>
            </w:r>
            <w:r>
              <w:rPr>
                <w:rFonts w:hint="eastAsia" w:ascii="楷体" w:hAnsi="楷体" w:eastAsia="楷体" w:cs="楷体"/>
                <w:color w:val="000000"/>
                <w:kern w:val="0"/>
                <w:sz w:val="22"/>
                <w:szCs w:val="22"/>
                <w:lang w:val="en-US" w:eastAsia="zh-CN" w:bidi="ar"/>
              </w:rPr>
              <w:t>.</w:t>
            </w:r>
            <w:r>
              <w:rPr>
                <w:rFonts w:hint="eastAsia" w:ascii="楷体" w:hAnsi="楷体" w:eastAsia="楷体" w:cs="楷体"/>
                <w:color w:val="FF0000"/>
                <w:kern w:val="0"/>
                <w:sz w:val="22"/>
                <w:szCs w:val="22"/>
                <w:lang w:val="en-US" w:eastAsia="zh-CN" w:bidi="ar"/>
              </w:rPr>
              <w:t>拒不履行和解协议的——申请人可以选择申请恢复执行或者就和解协议起诉</w:t>
            </w:r>
            <w:r>
              <w:rPr>
                <w:rFonts w:hint="eastAsia" w:ascii="楷体" w:hAnsi="楷体" w:eastAsia="楷体" w:cs="楷体"/>
                <w:color w:val="000000"/>
                <w:kern w:val="0"/>
                <w:sz w:val="22"/>
                <w:szCs w:val="22"/>
                <w:lang w:val="en-US" w:eastAsia="zh-CN" w:bidi="ar"/>
              </w:rPr>
              <w:t>：</w:t>
            </w:r>
          </w:p>
          <w:p w14:paraId="4D9CE4B8">
            <w:pPr>
              <w:keepNext w:val="0"/>
              <w:keepLines w:val="0"/>
              <w:pageBreakBefore w:val="0"/>
              <w:widowControl/>
              <w:suppressLineNumbers w:val="0"/>
              <w:kinsoku/>
              <w:wordWrap/>
              <w:overflowPunct/>
              <w:topLinePunct w:val="0"/>
              <w:autoSpaceDE/>
              <w:autoSpaceDN/>
              <w:bidi w:val="0"/>
              <w:adjustRightInd/>
              <w:snapToGrid/>
              <w:spacing w:line="380" w:lineRule="exact"/>
              <w:jc w:val="lef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（1）恢复执行：申请人申请恢复执行的，法院审查认为理由成立的，裁定恢复执行</w:t>
            </w:r>
          </w:p>
          <w:p w14:paraId="14469E8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（2）就和解协议起诉：由执行法院管辖；法院受理后，裁定终结执行，执行中的查封、扣押、冻结自动转为诉讼中的查封、扣押、冻结</w:t>
            </w:r>
          </w:p>
          <w:p w14:paraId="3A84320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当然，当事人、利害关系人认为执行和解协议无效或者应予撤销的，可以向执行法院提起诉讼，执行和解协议被确认无效或者撤销后，</w:t>
            </w:r>
            <w:r>
              <w:rPr>
                <w:rFonts w:hint="eastAsia" w:ascii="楷体" w:hAnsi="楷体" w:eastAsia="楷体" w:cs="楷体"/>
                <w:color w:val="FF0000"/>
                <w:vertAlign w:val="baseline"/>
                <w:lang w:val="en-US" w:eastAsia="zh-CN"/>
              </w:rPr>
              <w:t>申请执行人可以据此申请恢复执行</w:t>
            </w:r>
            <w:r>
              <w:rPr>
                <w:rFonts w:hint="eastAsia" w:ascii="楷体" w:hAnsi="楷体" w:eastAsia="楷体" w:cs="楷体"/>
                <w:vertAlign w:val="baseline"/>
                <w:lang w:val="en-US" w:eastAsia="zh-CN"/>
              </w:rPr>
              <w:t>。被执行人以执行和解协议无效或者应予撤销为由提起诉讼的，不影响申请执行人申请恢复执行</w:t>
            </w:r>
          </w:p>
        </w:tc>
      </w:tr>
    </w:tbl>
    <w:p w14:paraId="451665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知识点42：执行中止和终结</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45"/>
        <w:gridCol w:w="7177"/>
      </w:tblGrid>
      <w:tr w14:paraId="1D273C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789" w:type="pct"/>
            <w:tcBorders>
              <w:tl2br w:val="nil"/>
              <w:tr2bl w:val="nil"/>
            </w:tcBorders>
            <w:vAlign w:val="center"/>
          </w:tcPr>
          <w:p w14:paraId="2CFE92D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执行中止（裁定）</w:t>
            </w:r>
          </w:p>
        </w:tc>
        <w:tc>
          <w:tcPr>
            <w:tcW w:w="4210" w:type="pct"/>
            <w:tcBorders>
              <w:tl2br w:val="nil"/>
              <w:tr2bl w:val="nil"/>
            </w:tcBorders>
          </w:tcPr>
          <w:p w14:paraId="2FAF4F7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申请人表示可以延期执行的</w:t>
            </w:r>
          </w:p>
          <w:p w14:paraId="58320F3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案外人对执行标的提出确有理由的异议的</w:t>
            </w:r>
          </w:p>
          <w:p w14:paraId="10097A1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作为一方当事人的公民死亡，需要等待继承人继承权利或承担义务</w:t>
            </w:r>
          </w:p>
          <w:p w14:paraId="5217150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作为一方当事人的法人或者其他组织终止，尚未确定权利义务承受人</w:t>
            </w:r>
          </w:p>
          <w:p w14:paraId="2EDA4D8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5.法院认为应当中止的其他情形</w:t>
            </w:r>
          </w:p>
        </w:tc>
      </w:tr>
      <w:tr w14:paraId="75E4EF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89" w:type="pct"/>
            <w:tcBorders>
              <w:tl2br w:val="nil"/>
              <w:tr2bl w:val="nil"/>
            </w:tcBorders>
            <w:vAlign w:val="center"/>
          </w:tcPr>
          <w:p w14:paraId="25D2803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执行终结（裁定）</w:t>
            </w:r>
          </w:p>
        </w:tc>
        <w:tc>
          <w:tcPr>
            <w:tcW w:w="4210" w:type="pct"/>
            <w:tcBorders>
              <w:tl2br w:val="nil"/>
              <w:tr2bl w:val="nil"/>
            </w:tcBorders>
          </w:tcPr>
          <w:p w14:paraId="75F02F0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申请人撤销申请</w:t>
            </w:r>
          </w:p>
          <w:p w14:paraId="01E6B21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据以执行的法律文书被撤销</w:t>
            </w:r>
          </w:p>
          <w:p w14:paraId="5B3DCA7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作为被执行人的公民死亡，无遗产可供执行，又无义务承担人的</w:t>
            </w:r>
          </w:p>
          <w:p w14:paraId="706C1E6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追索赡养费、扶养费、抚养费案件的权利人死亡的</w:t>
            </w:r>
          </w:p>
          <w:p w14:paraId="5193B9C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w:t>
            </w:r>
            <w:r>
              <w:rPr>
                <w:rFonts w:hint="eastAsia" w:ascii="楷体" w:hAnsi="楷体" w:eastAsia="楷体" w:cs="楷体"/>
                <w:color w:val="FF0000"/>
                <w:vertAlign w:val="baseline"/>
                <w:lang w:val="en-US" w:eastAsia="zh-CN"/>
              </w:rPr>
              <w:t>被执行人（公民）因生活困难无力偿还借款，又无收入来源，丧失劳动能力</w:t>
            </w:r>
          </w:p>
          <w:p w14:paraId="6E8D313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6.法院认为应当终结的其他情形</w:t>
            </w:r>
          </w:p>
        </w:tc>
      </w:tr>
    </w:tbl>
    <w:p w14:paraId="656ED3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知识点43：执行救济</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81"/>
        <w:gridCol w:w="6841"/>
      </w:tblGrid>
      <w:tr w14:paraId="545DE9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86" w:type="pct"/>
            <w:tcBorders>
              <w:tl2br w:val="nil"/>
              <w:tr2bl w:val="nil"/>
            </w:tcBorders>
            <w:vAlign w:val="center"/>
          </w:tcPr>
          <w:p w14:paraId="49E169A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调解不成的，发回重审</w:t>
            </w:r>
          </w:p>
        </w:tc>
        <w:tc>
          <w:tcPr>
            <w:tcW w:w="4013" w:type="pct"/>
            <w:tcBorders>
              <w:tl2br w:val="nil"/>
              <w:tr2bl w:val="nil"/>
            </w:tcBorders>
          </w:tcPr>
          <w:p w14:paraId="47FC438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1.一审中已经提出的诉讼请求，原审人民法院</w:t>
            </w:r>
            <w:r>
              <w:rPr>
                <w:rFonts w:hint="eastAsia" w:ascii="楷体" w:hAnsi="楷体" w:eastAsia="楷体" w:cs="楷体"/>
                <w:color w:val="FF0000"/>
                <w:vertAlign w:val="baseline"/>
                <w:lang w:val="en-US" w:eastAsia="zh-CN"/>
              </w:rPr>
              <w:t>未作审理、判决的</w:t>
            </w:r>
            <w:r>
              <w:rPr>
                <w:rFonts w:hint="eastAsia" w:ascii="楷体" w:hAnsi="楷体" w:eastAsia="楷体" w:cs="楷体"/>
                <w:vertAlign w:val="baseline"/>
                <w:lang w:val="en-US" w:eastAsia="zh-CN"/>
              </w:rPr>
              <w:t>，调解不成的，发回重审</w:t>
            </w:r>
          </w:p>
          <w:p w14:paraId="2E4A14C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2.必须参加诉讼的当事人或者有独立请求权的第三人</w:t>
            </w:r>
            <w:r>
              <w:rPr>
                <w:rFonts w:hint="eastAsia" w:ascii="楷体" w:hAnsi="楷体" w:eastAsia="楷体" w:cs="楷体"/>
                <w:color w:val="FF0000"/>
                <w:vertAlign w:val="baseline"/>
                <w:lang w:val="en-US" w:eastAsia="zh-CN"/>
              </w:rPr>
              <w:t>在一审中未参加诉讼</w:t>
            </w:r>
            <w:r>
              <w:rPr>
                <w:rFonts w:hint="eastAsia" w:ascii="楷体" w:hAnsi="楷体" w:eastAsia="楷体" w:cs="楷体"/>
                <w:vertAlign w:val="baseline"/>
                <w:lang w:val="en-US" w:eastAsia="zh-CN"/>
              </w:rPr>
              <w:t>，调解不成的，发回重审</w:t>
            </w:r>
          </w:p>
          <w:p w14:paraId="517035B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.一审判决不准离婚的案件</w:t>
            </w:r>
            <w:r>
              <w:rPr>
                <w:rFonts w:hint="eastAsia" w:ascii="楷体" w:hAnsi="楷体" w:eastAsia="楷体" w:cs="楷体"/>
                <w:vertAlign w:val="baseline"/>
                <w:lang w:val="en-US" w:eastAsia="zh-CN"/>
              </w:rPr>
              <w:t>，上诉后，第二审人民法院认为应当判决离婚的，可以根据当事人自愿的原则，与子女抚养、财产问题一并调解，调解不成的，发回重审。若双方当事人同意由第二审法院一并审理的，二审法院可以一并裁判</w:t>
            </w:r>
          </w:p>
        </w:tc>
      </w:tr>
      <w:tr w14:paraId="684EBF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986" w:type="pct"/>
            <w:tcBorders>
              <w:tl2br w:val="nil"/>
              <w:tr2bl w:val="nil"/>
            </w:tcBorders>
            <w:vAlign w:val="center"/>
          </w:tcPr>
          <w:p w14:paraId="168E2A9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调解不成的，告知当事人另行起诉</w:t>
            </w:r>
          </w:p>
        </w:tc>
        <w:tc>
          <w:tcPr>
            <w:tcW w:w="4013" w:type="pct"/>
            <w:tcBorders>
              <w:tl2br w:val="nil"/>
              <w:tr2bl w:val="nil"/>
            </w:tcBorders>
          </w:tcPr>
          <w:p w14:paraId="791ABC3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1.在第二审程序中，</w:t>
            </w:r>
            <w:r>
              <w:rPr>
                <w:rFonts w:hint="eastAsia" w:ascii="楷体" w:hAnsi="楷体" w:eastAsia="楷体" w:cs="楷体"/>
                <w:color w:val="FF0000"/>
                <w:vertAlign w:val="baseline"/>
                <w:lang w:val="en-US" w:eastAsia="zh-CN"/>
              </w:rPr>
              <w:t>原审原告增加独立的诉讼请求</w:t>
            </w:r>
            <w:r>
              <w:rPr>
                <w:rFonts w:hint="eastAsia" w:ascii="楷体" w:hAnsi="楷体" w:eastAsia="楷体" w:cs="楷体"/>
                <w:vertAlign w:val="baseline"/>
                <w:lang w:val="en-US" w:eastAsia="zh-CN"/>
              </w:rPr>
              <w:t>，就新增加的诉讼请求进行调解，调解不成的，告知当事人另行起诉</w:t>
            </w:r>
          </w:p>
          <w:p w14:paraId="722DCFA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2.在第二审程序中，</w:t>
            </w:r>
            <w:r>
              <w:rPr>
                <w:rFonts w:hint="eastAsia" w:ascii="楷体" w:hAnsi="楷体" w:eastAsia="楷体" w:cs="楷体"/>
                <w:color w:val="FF0000"/>
                <w:vertAlign w:val="baseline"/>
                <w:lang w:val="en-US" w:eastAsia="zh-CN"/>
              </w:rPr>
              <w:t>原审被告提出反诉</w:t>
            </w:r>
            <w:r>
              <w:rPr>
                <w:rFonts w:hint="eastAsia" w:ascii="楷体" w:hAnsi="楷体" w:eastAsia="楷体" w:cs="楷体"/>
                <w:vertAlign w:val="baseline"/>
                <w:lang w:val="en-US" w:eastAsia="zh-CN"/>
              </w:rPr>
              <w:t>，就反诉进行调解，调解不成的，告知当事人另行起诉；调解成功的，应当制作调解书，调解书送达签收后，原审人民法院的判决即视为撤销。</w:t>
            </w:r>
          </w:p>
        </w:tc>
      </w:tr>
    </w:tbl>
    <w:p w14:paraId="190E5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p>
    <w:p w14:paraId="385CF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知识点44：代位申请执行</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06"/>
        <w:gridCol w:w="7216"/>
      </w:tblGrid>
      <w:tr w14:paraId="7A8E13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tcBorders>
              <w:tl2br w:val="nil"/>
              <w:tr2bl w:val="nil"/>
            </w:tcBorders>
            <w:vAlign w:val="center"/>
          </w:tcPr>
          <w:p w14:paraId="7A4B75E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适用条件</w:t>
            </w:r>
          </w:p>
        </w:tc>
        <w:tc>
          <w:tcPr>
            <w:tcW w:w="4233" w:type="pct"/>
            <w:tcBorders>
              <w:tl2br w:val="nil"/>
              <w:tr2bl w:val="nil"/>
            </w:tcBorders>
          </w:tcPr>
          <w:p w14:paraId="5179BB1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1.被执行人不能清偿债务，但其</w:t>
            </w:r>
            <w:r>
              <w:rPr>
                <w:rFonts w:hint="eastAsia" w:ascii="楷体" w:hAnsi="楷体" w:eastAsia="楷体" w:cs="楷体"/>
                <w:color w:val="FF0000"/>
                <w:vertAlign w:val="baseline"/>
                <w:lang w:val="en-US" w:eastAsia="zh-CN"/>
              </w:rPr>
              <w:t>对第三人享有到期债权</w:t>
            </w:r>
          </w:p>
          <w:p w14:paraId="3529F51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2.依申请执行人或被执行人的申请</w:t>
            </w:r>
          </w:p>
        </w:tc>
      </w:tr>
      <w:tr w14:paraId="276F15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tcBorders>
              <w:tl2br w:val="nil"/>
              <w:tr2bl w:val="nil"/>
            </w:tcBorders>
            <w:vAlign w:val="center"/>
          </w:tcPr>
          <w:p w14:paraId="0D40D3F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法院通知的效力</w:t>
            </w:r>
          </w:p>
        </w:tc>
        <w:tc>
          <w:tcPr>
            <w:tcW w:w="4233" w:type="pct"/>
            <w:tcBorders>
              <w:tl2br w:val="nil"/>
              <w:tr2bl w:val="nil"/>
            </w:tcBorders>
          </w:tcPr>
          <w:p w14:paraId="4E3BE76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1.第三人在收到通知后</w:t>
            </w:r>
            <w:r>
              <w:rPr>
                <w:rFonts w:hint="eastAsia" w:ascii="楷体" w:hAnsi="楷体" w:eastAsia="楷体" w:cs="楷体"/>
                <w:color w:val="FF0000"/>
                <w:vertAlign w:val="baseline"/>
                <w:lang w:val="en-US" w:eastAsia="zh-CN"/>
              </w:rPr>
              <w:t>15日内</w:t>
            </w:r>
            <w:r>
              <w:rPr>
                <w:rFonts w:hint="eastAsia" w:ascii="楷体" w:hAnsi="楷体" w:eastAsia="楷体" w:cs="楷体"/>
                <w:vertAlign w:val="baseline"/>
                <w:lang w:val="en-US" w:eastAsia="zh-CN"/>
              </w:rPr>
              <w:t>向申请执行人履行债务</w:t>
            </w:r>
          </w:p>
          <w:p w14:paraId="4CBDD2C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2.第三人在收到通知后</w:t>
            </w:r>
            <w:r>
              <w:rPr>
                <w:rFonts w:hint="eastAsia" w:ascii="楷体" w:hAnsi="楷体" w:eastAsia="楷体" w:cs="楷体"/>
                <w:color w:val="FF0000"/>
                <w:vertAlign w:val="baseline"/>
                <w:lang w:val="en-US" w:eastAsia="zh-CN"/>
              </w:rPr>
              <w:t>15日内</w:t>
            </w:r>
            <w:r>
              <w:rPr>
                <w:rFonts w:hint="eastAsia" w:ascii="楷体" w:hAnsi="楷体" w:eastAsia="楷体" w:cs="楷体"/>
                <w:vertAlign w:val="baseline"/>
                <w:lang w:val="en-US" w:eastAsia="zh-CN"/>
              </w:rPr>
              <w:t>向执行法院提出异议</w:t>
            </w:r>
          </w:p>
        </w:tc>
      </w:tr>
      <w:tr w14:paraId="35103B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tcBorders>
              <w:tl2br w:val="nil"/>
              <w:tr2bl w:val="nil"/>
            </w:tcBorders>
            <w:vAlign w:val="center"/>
          </w:tcPr>
          <w:p w14:paraId="3DEF95E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第三人异议</w:t>
            </w:r>
          </w:p>
        </w:tc>
        <w:tc>
          <w:tcPr>
            <w:tcW w:w="4233" w:type="pct"/>
            <w:tcBorders>
              <w:tl2br w:val="nil"/>
              <w:tr2bl w:val="nil"/>
            </w:tcBorders>
          </w:tcPr>
          <w:p w14:paraId="3238DE5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1.必须在</w:t>
            </w:r>
            <w:r>
              <w:rPr>
                <w:rFonts w:hint="eastAsia" w:ascii="楷体" w:hAnsi="楷体" w:eastAsia="楷体" w:cs="楷体"/>
                <w:color w:val="FF0000"/>
                <w:vertAlign w:val="baseline"/>
                <w:lang w:val="en-US" w:eastAsia="zh-CN"/>
              </w:rPr>
              <w:t>法定期间内</w:t>
            </w:r>
            <w:r>
              <w:rPr>
                <w:rFonts w:hint="eastAsia" w:ascii="楷体" w:hAnsi="楷体" w:eastAsia="楷体" w:cs="楷体"/>
                <w:vertAlign w:val="baseline"/>
                <w:lang w:val="en-US" w:eastAsia="zh-CN"/>
              </w:rPr>
              <w:t>提出</w:t>
            </w:r>
          </w:p>
          <w:p w14:paraId="68C2DFC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2.一般应当采用书面形式，也可口头</w:t>
            </w:r>
          </w:p>
          <w:p w14:paraId="00327F2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3.第三人在履行通知指定的期间内提出异议的，对异议不进行审查；也不可强制执行</w:t>
            </w:r>
          </w:p>
          <w:p w14:paraId="1CB0DF3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4.经有效异议，人民法院</w:t>
            </w:r>
            <w:r>
              <w:rPr>
                <w:rFonts w:hint="eastAsia" w:ascii="楷体" w:hAnsi="楷体" w:eastAsia="楷体" w:cs="楷体"/>
                <w:color w:val="FF0000"/>
                <w:vertAlign w:val="baseline"/>
                <w:lang w:val="en-US" w:eastAsia="zh-CN"/>
              </w:rPr>
              <w:t>不得对第三人再强制执行</w:t>
            </w:r>
          </w:p>
          <w:p w14:paraId="2704939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5.第三人提出部分异议的，</w:t>
            </w:r>
            <w:r>
              <w:rPr>
                <w:rFonts w:hint="eastAsia" w:ascii="楷体" w:hAnsi="楷体" w:eastAsia="楷体" w:cs="楷体"/>
                <w:color w:val="FF0000"/>
                <w:vertAlign w:val="baseline"/>
                <w:lang w:val="en-US" w:eastAsia="zh-CN"/>
              </w:rPr>
              <w:t>对其承认的部分可以强制执行</w:t>
            </w:r>
          </w:p>
        </w:tc>
      </w:tr>
      <w:tr w14:paraId="5234DE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66" w:type="pct"/>
            <w:tcBorders>
              <w:tl2br w:val="nil"/>
              <w:tr2bl w:val="nil"/>
            </w:tcBorders>
            <w:vAlign w:val="center"/>
          </w:tcPr>
          <w:p w14:paraId="20BF9E1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对第三人的措施</w:t>
            </w:r>
          </w:p>
        </w:tc>
        <w:tc>
          <w:tcPr>
            <w:tcW w:w="4233" w:type="pct"/>
            <w:tcBorders>
              <w:tl2br w:val="nil"/>
              <w:tr2bl w:val="nil"/>
            </w:tcBorders>
          </w:tcPr>
          <w:p w14:paraId="60F2C20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1.第三人收到通知后不异议，也不履行，法院</w:t>
            </w:r>
            <w:r>
              <w:rPr>
                <w:rFonts w:hint="eastAsia" w:ascii="楷体" w:hAnsi="楷体" w:eastAsia="楷体" w:cs="楷体"/>
                <w:color w:val="FF0000"/>
                <w:vertAlign w:val="baseline"/>
                <w:lang w:val="en-US" w:eastAsia="zh-CN"/>
              </w:rPr>
              <w:t>可以强制执行</w:t>
            </w:r>
          </w:p>
          <w:p w14:paraId="43E3FFD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2.第三人收到通知后，擅自履行，人民法院应当责令追回；不能追回的，除在已履行的范围内与被执行人承担连带清偿责任外，还可以追究其妨害执行的责任</w:t>
            </w:r>
          </w:p>
          <w:p w14:paraId="449C05F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3.对该第三人作出强制执行的裁定后，第三人确无可供执行的财产，不得就第三人对他人享有的到期债权强制执行（代位申请执行只能代位一次，不能再代位）</w:t>
            </w:r>
          </w:p>
        </w:tc>
      </w:tr>
    </w:tbl>
    <w:p w14:paraId="512A43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知识点45：执行措施</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15"/>
        <w:gridCol w:w="7307"/>
      </w:tblGrid>
      <w:tr w14:paraId="5A3857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3" w:type="pct"/>
            <w:tcBorders>
              <w:tl2br w:val="nil"/>
              <w:tr2bl w:val="nil"/>
            </w:tcBorders>
            <w:vAlign w:val="center"/>
          </w:tcPr>
          <w:p w14:paraId="2AA57BF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迟延履行</w:t>
            </w:r>
          </w:p>
        </w:tc>
        <w:tc>
          <w:tcPr>
            <w:tcW w:w="4286" w:type="pct"/>
            <w:tcBorders>
              <w:tl2br w:val="nil"/>
              <w:tr2bl w:val="nil"/>
            </w:tcBorders>
          </w:tcPr>
          <w:p w14:paraId="3A5B9FF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迟延履行利息和迟延履行金：</w:t>
            </w:r>
          </w:p>
          <w:p w14:paraId="645AAF8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1.对于金钱债务，如果义务人逾期不履行义务，应当</w:t>
            </w:r>
            <w:r>
              <w:rPr>
                <w:rFonts w:hint="eastAsia" w:ascii="楷体" w:hAnsi="楷体" w:eastAsia="楷体" w:cs="楷体"/>
                <w:color w:val="FF0000"/>
                <w:vertAlign w:val="baseline"/>
                <w:lang w:val="en-US" w:eastAsia="zh-CN"/>
              </w:rPr>
              <w:t>加倍支付延迟履行期间的债务利息</w:t>
            </w:r>
          </w:p>
          <w:p w14:paraId="0A1AE09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2.对于非金钱债务，应当</w:t>
            </w:r>
            <w:r>
              <w:rPr>
                <w:rFonts w:hint="eastAsia" w:ascii="楷体" w:hAnsi="楷体" w:eastAsia="楷体" w:cs="楷体"/>
                <w:color w:val="FF0000"/>
                <w:vertAlign w:val="baseline"/>
                <w:lang w:val="en-US" w:eastAsia="zh-CN"/>
              </w:rPr>
              <w:t>支付迟延履行金</w:t>
            </w:r>
            <w:r>
              <w:rPr>
                <w:rFonts w:hint="eastAsia" w:ascii="楷体" w:hAnsi="楷体" w:eastAsia="楷体" w:cs="楷体"/>
                <w:vertAlign w:val="baseline"/>
                <w:lang w:val="en-US" w:eastAsia="zh-CN"/>
              </w:rPr>
              <w:t>；已经造成损失的，双倍补偿申请执行人已经受到的损失；没有造成损失的，迟延履行金可以由人民法院根据具体案件情况决定</w:t>
            </w:r>
          </w:p>
          <w:p w14:paraId="127DDB7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3.与调解协议中约定的民事责任竞合：</w:t>
            </w:r>
            <w:r>
              <w:rPr>
                <w:rFonts w:hint="eastAsia" w:ascii="楷体" w:hAnsi="楷体" w:eastAsia="楷体" w:cs="楷体"/>
                <w:color w:val="FF0000"/>
                <w:vertAlign w:val="baseline"/>
                <w:lang w:val="en-US" w:eastAsia="zh-CN"/>
              </w:rPr>
              <w:t>适用当事人的约定</w:t>
            </w:r>
          </w:p>
        </w:tc>
      </w:tr>
      <w:tr w14:paraId="777218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13" w:type="pct"/>
            <w:tcBorders>
              <w:tl2br w:val="nil"/>
              <w:tr2bl w:val="nil"/>
            </w:tcBorders>
            <w:vAlign w:val="center"/>
          </w:tcPr>
          <w:p w14:paraId="59DCFE1B">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共有财产</w:t>
            </w:r>
          </w:p>
        </w:tc>
        <w:tc>
          <w:tcPr>
            <w:tcW w:w="4286" w:type="pct"/>
            <w:tcBorders>
              <w:tl2br w:val="nil"/>
              <w:tr2bl w:val="nil"/>
            </w:tcBorders>
          </w:tcPr>
          <w:p w14:paraId="33C3DD4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对共有财产可以执行相应份额</w:t>
            </w:r>
          </w:p>
        </w:tc>
      </w:tr>
    </w:tbl>
    <w:p w14:paraId="49221DFE">
      <w:pPr>
        <w:bidi w:val="0"/>
        <w:rPr>
          <w:rFonts w:hint="eastAsia" w:ascii="楷体" w:hAnsi="楷体" w:eastAsia="楷体" w:cs="楷体"/>
          <w:lang w:val="en-US" w:eastAsia="zh-CN"/>
        </w:rPr>
      </w:pPr>
    </w:p>
    <w:p w14:paraId="2B5EE7D8">
      <w:pPr>
        <w:pStyle w:val="3"/>
        <w:bidi w:val="0"/>
        <w:jc w:val="center"/>
        <w:rPr>
          <w:rFonts w:hint="eastAsia" w:ascii="楷体" w:hAnsi="楷体" w:eastAsia="楷体" w:cs="楷体"/>
          <w:lang w:val="en-US" w:eastAsia="zh-CN"/>
        </w:rPr>
      </w:pPr>
      <w:bookmarkStart w:id="51" w:name="_Toc6249"/>
      <w:bookmarkStart w:id="52" w:name="_Toc25943"/>
      <w:bookmarkStart w:id="53" w:name="_Toc8655"/>
      <w:r>
        <w:rPr>
          <w:rFonts w:hint="eastAsia" w:ascii="楷体" w:hAnsi="楷体" w:eastAsia="楷体" w:cs="楷体"/>
          <w:lang w:val="en-US" w:eastAsia="zh-CN"/>
        </w:rPr>
        <w:t>专题十八 涉外民事诉讼的特殊规定</w:t>
      </w:r>
      <w:bookmarkEnd w:id="51"/>
      <w:bookmarkEnd w:id="52"/>
      <w:bookmarkEnd w:id="53"/>
    </w:p>
    <w:p w14:paraId="728FAB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知识点46：外国法院文书的承认与执行</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46"/>
        <w:gridCol w:w="7276"/>
      </w:tblGrid>
      <w:tr w14:paraId="0F8479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31" w:type="pct"/>
            <w:tcBorders>
              <w:tl2br w:val="nil"/>
              <w:tr2bl w:val="nil"/>
            </w:tcBorders>
            <w:vAlign w:val="center"/>
          </w:tcPr>
          <w:p w14:paraId="4984BD8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途径</w:t>
            </w:r>
          </w:p>
        </w:tc>
        <w:tc>
          <w:tcPr>
            <w:tcW w:w="4268" w:type="pct"/>
            <w:tcBorders>
              <w:tl2br w:val="nil"/>
              <w:tr2bl w:val="nil"/>
            </w:tcBorders>
          </w:tcPr>
          <w:p w14:paraId="1B8D209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1.当事人向我国法院申请：</w:t>
            </w:r>
            <w:r>
              <w:rPr>
                <w:rFonts w:hint="eastAsia" w:ascii="楷体" w:hAnsi="楷体" w:eastAsia="楷体" w:cs="楷体"/>
                <w:color w:val="FF0000"/>
                <w:vertAlign w:val="baseline"/>
                <w:lang w:val="en-US" w:eastAsia="zh-CN"/>
              </w:rPr>
              <w:t>有管辖权的中院</w:t>
            </w:r>
          </w:p>
          <w:p w14:paraId="45BF0D5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2.外国法院请求我国法院承认和执行：按国际条约或互惠原则</w:t>
            </w:r>
          </w:p>
        </w:tc>
      </w:tr>
      <w:tr w14:paraId="5A15F1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31" w:type="pct"/>
            <w:tcBorders>
              <w:tl2br w:val="nil"/>
              <w:tr2bl w:val="nil"/>
            </w:tcBorders>
            <w:vAlign w:val="center"/>
          </w:tcPr>
          <w:p w14:paraId="0DF76D9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处理结果</w:t>
            </w:r>
          </w:p>
        </w:tc>
        <w:tc>
          <w:tcPr>
            <w:tcW w:w="4268" w:type="pct"/>
            <w:tcBorders>
              <w:tl2br w:val="nil"/>
              <w:tr2bl w:val="nil"/>
            </w:tcBorders>
          </w:tcPr>
          <w:p w14:paraId="360397D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裁定承认、执行</w:t>
            </w:r>
          </w:p>
          <w:p w14:paraId="1CC7A3A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不违反我国法律基本原则；且不损害国家主权、安全、社会公共利益</w:t>
            </w:r>
          </w:p>
          <w:p w14:paraId="05E9971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裁定不予承认、执行</w:t>
            </w:r>
          </w:p>
          <w:p w14:paraId="76886F7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（1）外国法院无管辖权；按照外国法律无管辖权或无适当联系；违反我国专属管辖的；违反当事人排他性选择法院管辖的协议</w:t>
            </w:r>
          </w:p>
          <w:p w14:paraId="33882D8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程序违法</w:t>
            </w:r>
            <w:r>
              <w:rPr>
                <w:rFonts w:hint="eastAsia" w:ascii="楷体" w:hAnsi="楷体" w:eastAsia="楷体" w:cs="楷体"/>
                <w:vertAlign w:val="baseline"/>
                <w:lang w:val="en-US" w:eastAsia="zh-CN"/>
              </w:rPr>
              <w:t>：未经合法传唤、未经合理辩论、未得到适当代理</w:t>
            </w:r>
          </w:p>
          <w:p w14:paraId="7C0C1CC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（3）欺诈方式取得裁判</w:t>
            </w:r>
          </w:p>
          <w:p w14:paraId="026C6B2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w:t>
            </w:r>
            <w:r>
              <w:rPr>
                <w:rFonts w:hint="eastAsia" w:ascii="楷体" w:hAnsi="楷体" w:eastAsia="楷体" w:cs="楷体"/>
                <w:color w:val="FF0000"/>
                <w:vertAlign w:val="baseline"/>
                <w:lang w:val="en-US" w:eastAsia="zh-CN"/>
              </w:rPr>
              <w:t>已裁事项：</w:t>
            </w:r>
            <w:r>
              <w:rPr>
                <w:rFonts w:hint="eastAsia" w:ascii="楷体" w:hAnsi="楷体" w:eastAsia="楷体" w:cs="楷体"/>
                <w:vertAlign w:val="baseline"/>
                <w:lang w:val="en-US" w:eastAsia="zh-CN"/>
              </w:rPr>
              <w:t>我国法院已判决或已承认该纠纷的外国裁判</w:t>
            </w:r>
          </w:p>
          <w:p w14:paraId="7B87A48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（5）违反我国法律基本原则；且不损害国家主权、安全、社会公共利益</w:t>
            </w:r>
          </w:p>
          <w:p w14:paraId="2FA3B41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裁定中止诉讼</w:t>
            </w:r>
            <w:r>
              <w:rPr>
                <w:rFonts w:hint="eastAsia" w:ascii="楷体" w:hAnsi="楷体" w:eastAsia="楷体" w:cs="楷体"/>
                <w:vertAlign w:val="baseline"/>
                <w:lang w:val="en-US" w:eastAsia="zh-CN"/>
              </w:rPr>
              <w:t>：</w:t>
            </w:r>
            <w:r>
              <w:rPr>
                <w:rFonts w:hint="eastAsia" w:ascii="楷体" w:hAnsi="楷体" w:eastAsia="楷体" w:cs="楷体"/>
                <w:color w:val="FF0000"/>
                <w:vertAlign w:val="baseline"/>
                <w:lang w:val="en-US" w:eastAsia="zh-CN"/>
              </w:rPr>
              <w:t>该纠纷我国法院正在审理</w:t>
            </w:r>
          </w:p>
          <w:p w14:paraId="449E5D7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（1）裁定承认、执行</w:t>
            </w:r>
          </w:p>
          <w:p w14:paraId="5926445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（2）裁定承认、执行外国裁判+裁定驳回我国起诉</w:t>
            </w:r>
          </w:p>
        </w:tc>
      </w:tr>
      <w:tr w14:paraId="0D8988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31" w:type="pct"/>
            <w:tcBorders>
              <w:tl2br w:val="nil"/>
              <w:tr2bl w:val="nil"/>
            </w:tcBorders>
            <w:vAlign w:val="center"/>
          </w:tcPr>
          <w:p w14:paraId="28456BB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救济途径</w:t>
            </w:r>
          </w:p>
        </w:tc>
        <w:tc>
          <w:tcPr>
            <w:tcW w:w="4268" w:type="pct"/>
            <w:tcBorders>
              <w:tl2br w:val="nil"/>
              <w:tr2bl w:val="nil"/>
            </w:tcBorders>
          </w:tcPr>
          <w:p w14:paraId="7901D93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向</w:t>
            </w:r>
            <w:r>
              <w:rPr>
                <w:rFonts w:hint="eastAsia" w:ascii="楷体" w:hAnsi="楷体" w:eastAsia="楷体" w:cs="楷体"/>
                <w:color w:val="FF0000"/>
                <w:vertAlign w:val="baseline"/>
                <w:lang w:val="en-US" w:eastAsia="zh-CN"/>
              </w:rPr>
              <w:t>上一级法院</w:t>
            </w:r>
            <w:r>
              <w:rPr>
                <w:rFonts w:hint="eastAsia" w:ascii="楷体" w:hAnsi="楷体" w:eastAsia="楷体" w:cs="楷体"/>
                <w:vertAlign w:val="baseline"/>
                <w:lang w:val="en-US" w:eastAsia="zh-CN"/>
              </w:rPr>
              <w:t>复议；10日内</w:t>
            </w:r>
          </w:p>
        </w:tc>
      </w:tr>
    </w:tbl>
    <w:p w14:paraId="765DE6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知识点47：平行诉讼</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77"/>
        <w:gridCol w:w="7245"/>
      </w:tblGrid>
      <w:tr w14:paraId="78D71D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9" w:type="pct"/>
            <w:tcBorders>
              <w:tl2br w:val="nil"/>
              <w:tr2bl w:val="nil"/>
            </w:tcBorders>
            <w:vAlign w:val="center"/>
          </w:tcPr>
          <w:p w14:paraId="3023B11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概念</w:t>
            </w:r>
          </w:p>
        </w:tc>
        <w:tc>
          <w:tcPr>
            <w:tcW w:w="4250" w:type="pct"/>
            <w:tcBorders>
              <w:tl2br w:val="nil"/>
              <w:tr2bl w:val="nil"/>
            </w:tcBorders>
          </w:tcPr>
          <w:p w14:paraId="5DA01911">
            <w:pPr>
              <w:bidi w:val="0"/>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一方当事人既向外国法院起诉，又向人民法院起诉</w:t>
            </w:r>
          </w:p>
        </w:tc>
      </w:tr>
      <w:tr w14:paraId="63E72D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9" w:type="pct"/>
            <w:tcBorders>
              <w:tl2br w:val="nil"/>
              <w:tr2bl w:val="nil"/>
            </w:tcBorders>
            <w:vAlign w:val="center"/>
          </w:tcPr>
          <w:p w14:paraId="44159B4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不方便法院原则</w:t>
            </w:r>
          </w:p>
        </w:tc>
        <w:tc>
          <w:tcPr>
            <w:tcW w:w="4250" w:type="pct"/>
            <w:tcBorders>
              <w:tl2br w:val="nil"/>
              <w:tr2bl w:val="nil"/>
            </w:tcBorders>
          </w:tcPr>
          <w:p w14:paraId="57D39D2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人民法院受理的涉外民事案件，被告提出管辖异议，且同时有下列情形的，可以</w:t>
            </w:r>
            <w:r>
              <w:rPr>
                <w:rFonts w:hint="eastAsia" w:ascii="楷体" w:hAnsi="楷体" w:eastAsia="楷体" w:cs="楷体"/>
                <w:color w:val="FF0000"/>
                <w:vertAlign w:val="baseline"/>
                <w:lang w:val="en-US" w:eastAsia="zh-CN"/>
              </w:rPr>
              <w:t>裁定驳回起诉</w:t>
            </w:r>
            <w:r>
              <w:rPr>
                <w:rFonts w:hint="eastAsia" w:ascii="楷体" w:hAnsi="楷体" w:eastAsia="楷体" w:cs="楷体"/>
                <w:vertAlign w:val="baseline"/>
                <w:lang w:val="en-US" w:eastAsia="zh-CN"/>
              </w:rPr>
              <w:t>，告知原告向更为方便的外国法院提起诉讼：</w:t>
            </w:r>
          </w:p>
          <w:p w14:paraId="64F8F10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1.案件争议的基本事实不是发生在中华人民共和国领域内，人民法院审理案件和当事人参加诉讼均明显不方便</w:t>
            </w:r>
          </w:p>
          <w:p w14:paraId="19BD5A0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2.当事人之间不存在选择人民法院管辖的协议</w:t>
            </w:r>
          </w:p>
          <w:p w14:paraId="47D5837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3.案件不属于人民法院专属管辖</w:t>
            </w:r>
          </w:p>
          <w:p w14:paraId="6331E2D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4.案件不涉及中华人民共和国主权、安全或者社会公共利益</w:t>
            </w:r>
          </w:p>
          <w:p w14:paraId="1824211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5.外国法院审理案件更为方便</w:t>
            </w:r>
          </w:p>
          <w:p w14:paraId="2F6DAAA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裁定驳回起诉后，外国法院对纠纷拒绝行使管辖权，或者未采取必要措施审理案件，或者未在合理期限内审结，当事人又向人民法院起诉的，人民法院应当受理</w:t>
            </w:r>
          </w:p>
        </w:tc>
      </w:tr>
      <w:tr w14:paraId="2256E0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9" w:type="pct"/>
            <w:tcBorders>
              <w:tl2br w:val="nil"/>
              <w:tr2bl w:val="nil"/>
            </w:tcBorders>
            <w:vAlign w:val="center"/>
          </w:tcPr>
          <w:p w14:paraId="484B37A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诉讼中止</w:t>
            </w:r>
          </w:p>
        </w:tc>
        <w:tc>
          <w:tcPr>
            <w:tcW w:w="4250" w:type="pct"/>
            <w:tcBorders>
              <w:tl2br w:val="nil"/>
              <w:tr2bl w:val="nil"/>
            </w:tcBorders>
          </w:tcPr>
          <w:p w14:paraId="486904A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人民法院依据前条规定受理案件后，当事人以外国法院已经先于人民法院受理为由，书面申请人民法院中止诉讼的，</w:t>
            </w:r>
            <w:r>
              <w:rPr>
                <w:rFonts w:hint="eastAsia" w:ascii="楷体" w:hAnsi="楷体" w:eastAsia="楷体" w:cs="楷体"/>
                <w:color w:val="FF0000"/>
                <w:vertAlign w:val="baseline"/>
                <w:lang w:val="en-US" w:eastAsia="zh-CN"/>
              </w:rPr>
              <w:t>人民法院可以裁定中止诉讼，但是存在下列情形之一的除外</w:t>
            </w:r>
            <w:r>
              <w:rPr>
                <w:rFonts w:hint="eastAsia" w:ascii="楷体" w:hAnsi="楷体" w:eastAsia="楷体" w:cs="楷体"/>
                <w:vertAlign w:val="baseline"/>
                <w:lang w:val="en-US" w:eastAsia="zh-CN"/>
              </w:rPr>
              <w:t>：</w:t>
            </w:r>
          </w:p>
          <w:p w14:paraId="3CC1339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1.当事人协议选择人民法院管辖，或者纠纷属于人民法院专属管辖</w:t>
            </w:r>
          </w:p>
          <w:p w14:paraId="006BC7A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2.由人民法院审理明显更为方便</w:t>
            </w:r>
          </w:p>
          <w:p w14:paraId="68C616C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外国法院未采取必要措施审理案件，或者未在合理期限内审结的，依当事人的书面申请，人民法院应当恢复诉讼。外国法院作出的发生法律效力的判决、裁定，已经被人民法院全部或者部分承认，当事人对已经获得承认的部分又向人民法院起诉的，裁定不予受理；已经受理的，裁定驳回起诉</w:t>
            </w:r>
          </w:p>
        </w:tc>
      </w:tr>
    </w:tbl>
    <w:p w14:paraId="551C48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p>
    <w:p w14:paraId="061ACD99">
      <w:pPr>
        <w:pStyle w:val="3"/>
        <w:bidi w:val="0"/>
        <w:rPr>
          <w:rFonts w:hint="eastAsia" w:ascii="楷体" w:hAnsi="楷体" w:eastAsia="楷体" w:cs="楷体"/>
          <w:lang w:val="en-US" w:eastAsia="zh-CN"/>
        </w:rPr>
      </w:pPr>
      <w:bookmarkStart w:id="54" w:name="_Toc23156"/>
      <w:bookmarkStart w:id="55" w:name="_Toc7054"/>
      <w:bookmarkStart w:id="56" w:name="_Toc21955"/>
      <w:r>
        <w:rPr>
          <w:rFonts w:hint="eastAsia" w:ascii="楷体" w:hAnsi="楷体" w:eastAsia="楷体" w:cs="楷体"/>
          <w:lang w:val="en-US" w:eastAsia="zh-CN"/>
        </w:rPr>
        <w:t>专题十九 仲裁与仲裁法概述</w:t>
      </w:r>
      <w:bookmarkEnd w:id="54"/>
      <w:bookmarkEnd w:id="55"/>
      <w:bookmarkEnd w:id="56"/>
    </w:p>
    <w:p w14:paraId="6BAAC5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知识点48：仲裁概述</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31"/>
        <w:gridCol w:w="7291"/>
      </w:tblGrid>
      <w:tr w14:paraId="33E0EF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tcBorders>
              <w:tl2br w:val="nil"/>
              <w:tr2bl w:val="nil"/>
            </w:tcBorders>
            <w:vAlign w:val="center"/>
          </w:tcPr>
          <w:p w14:paraId="108423A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仲裁范围</w:t>
            </w:r>
          </w:p>
        </w:tc>
        <w:tc>
          <w:tcPr>
            <w:tcW w:w="4277" w:type="pct"/>
            <w:tcBorders>
              <w:tl2br w:val="nil"/>
              <w:tr2bl w:val="nil"/>
            </w:tcBorders>
          </w:tcPr>
          <w:p w14:paraId="7C34F7F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1.平等主体间的财产权益纠纷可以仲裁</w:t>
            </w:r>
          </w:p>
          <w:p w14:paraId="603F039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2.</w:t>
            </w:r>
            <w:r>
              <w:rPr>
                <w:rFonts w:hint="eastAsia" w:ascii="楷体" w:hAnsi="楷体" w:eastAsia="楷体" w:cs="楷体"/>
                <w:color w:val="FF0000"/>
                <w:vertAlign w:val="baseline"/>
                <w:lang w:val="en-US" w:eastAsia="zh-CN"/>
              </w:rPr>
              <w:t>不得仲裁的事项</w:t>
            </w:r>
            <w:r>
              <w:rPr>
                <w:rFonts w:hint="eastAsia" w:ascii="楷体" w:hAnsi="楷体" w:eastAsia="楷体" w:cs="楷体"/>
                <w:color w:val="auto"/>
                <w:vertAlign w:val="baseline"/>
                <w:lang w:val="en-US" w:eastAsia="zh-CN"/>
              </w:rPr>
              <w:t>：</w:t>
            </w:r>
          </w:p>
          <w:p w14:paraId="37E6191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（1）婚姻、收养、监护、扶养、继承纠纷</w:t>
            </w:r>
          </w:p>
          <w:p w14:paraId="6534E35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（2）依法应当由行政机关处理的行政纠纷</w:t>
            </w:r>
          </w:p>
          <w:p w14:paraId="7A6B9EB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（3）劳动争议和农业承包合同纠纷</w:t>
            </w:r>
          </w:p>
        </w:tc>
      </w:tr>
      <w:tr w14:paraId="5A5D19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22" w:type="pct"/>
            <w:tcBorders>
              <w:tl2br w:val="nil"/>
              <w:tr2bl w:val="nil"/>
            </w:tcBorders>
            <w:vAlign w:val="center"/>
          </w:tcPr>
          <w:p w14:paraId="6D440D5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基本制度</w:t>
            </w:r>
          </w:p>
        </w:tc>
        <w:tc>
          <w:tcPr>
            <w:tcW w:w="4277" w:type="pct"/>
            <w:tcBorders>
              <w:tl2br w:val="nil"/>
              <w:tr2bl w:val="nil"/>
            </w:tcBorders>
          </w:tcPr>
          <w:p w14:paraId="24AD35F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1.</w:t>
            </w:r>
            <w:r>
              <w:rPr>
                <w:rFonts w:hint="eastAsia" w:ascii="楷体" w:hAnsi="楷体" w:eastAsia="楷体" w:cs="楷体"/>
                <w:color w:val="FF0000"/>
                <w:vertAlign w:val="baseline"/>
                <w:lang w:val="en-US" w:eastAsia="zh-CN"/>
              </w:rPr>
              <w:t>协议仲裁制度</w:t>
            </w:r>
            <w:r>
              <w:rPr>
                <w:rFonts w:hint="eastAsia" w:ascii="楷体" w:hAnsi="楷体" w:eastAsia="楷体" w:cs="楷体"/>
                <w:color w:val="auto"/>
                <w:vertAlign w:val="baseline"/>
                <w:lang w:val="en-US" w:eastAsia="zh-CN"/>
              </w:rPr>
              <w:t>：仲裁必须依据当事人之间订立的有效仲裁协议，无仲裁协议就无仲裁程序</w:t>
            </w:r>
          </w:p>
          <w:p w14:paraId="55DD595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2</w:t>
            </w:r>
            <w:r>
              <w:rPr>
                <w:rFonts w:hint="eastAsia" w:ascii="楷体" w:hAnsi="楷体" w:eastAsia="楷体" w:cs="楷体"/>
                <w:color w:val="FF0000"/>
                <w:vertAlign w:val="baseline"/>
                <w:lang w:val="en-US" w:eastAsia="zh-CN"/>
              </w:rPr>
              <w:t>.或裁或审制度</w:t>
            </w:r>
            <w:r>
              <w:rPr>
                <w:rFonts w:hint="eastAsia" w:ascii="楷体" w:hAnsi="楷体" w:eastAsia="楷体" w:cs="楷体"/>
                <w:color w:val="auto"/>
                <w:vertAlign w:val="baseline"/>
                <w:lang w:val="en-US" w:eastAsia="zh-CN"/>
              </w:rPr>
              <w:t>：有效的仲裁协议排法院对案件的司法管辖权；只有在没有仲裁协议或者仲裁协议无效的情况下，法院才可以行使司法管辖权予以审理</w:t>
            </w:r>
          </w:p>
          <w:p w14:paraId="49A7E9F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auto"/>
                <w:vertAlign w:val="baseline"/>
                <w:lang w:val="en-US" w:eastAsia="zh-CN"/>
              </w:rPr>
            </w:pPr>
            <w:r>
              <w:rPr>
                <w:rFonts w:hint="eastAsia" w:ascii="楷体" w:hAnsi="楷体" w:eastAsia="楷体" w:cs="楷体"/>
                <w:color w:val="auto"/>
                <w:vertAlign w:val="baseline"/>
                <w:lang w:val="en-US" w:eastAsia="zh-CN"/>
              </w:rPr>
              <w:t>3.</w:t>
            </w:r>
            <w:r>
              <w:rPr>
                <w:rFonts w:hint="eastAsia" w:ascii="楷体" w:hAnsi="楷体" w:eastAsia="楷体" w:cs="楷体"/>
                <w:color w:val="FF0000"/>
                <w:vertAlign w:val="baseline"/>
                <w:lang w:val="en-US" w:eastAsia="zh-CN"/>
              </w:rPr>
              <w:t>一裁终局制度</w:t>
            </w:r>
            <w:r>
              <w:rPr>
                <w:rFonts w:hint="eastAsia" w:ascii="楷体" w:hAnsi="楷体" w:eastAsia="楷体" w:cs="楷体"/>
                <w:color w:val="auto"/>
                <w:vertAlign w:val="baseline"/>
                <w:lang w:val="en-US" w:eastAsia="zh-CN"/>
              </w:rPr>
              <w:t>：仲裁裁决一经作出，即为终局裁决；当事人就同一纠纷再申请仲裁或者向法院起诉，仲裁委员会或者法院不予受理</w:t>
            </w:r>
          </w:p>
        </w:tc>
      </w:tr>
    </w:tbl>
    <w:p w14:paraId="48519F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p>
    <w:p w14:paraId="2ABB8180">
      <w:pPr>
        <w:pStyle w:val="3"/>
        <w:bidi w:val="0"/>
        <w:rPr>
          <w:rFonts w:hint="eastAsia" w:ascii="楷体" w:hAnsi="楷体" w:eastAsia="楷体" w:cs="楷体"/>
          <w:lang w:val="en-US" w:eastAsia="zh-CN"/>
        </w:rPr>
      </w:pPr>
      <w:bookmarkStart w:id="57" w:name="_Toc11763"/>
      <w:bookmarkStart w:id="58" w:name="_Toc19959"/>
      <w:bookmarkStart w:id="59" w:name="_Toc29170"/>
      <w:r>
        <w:rPr>
          <w:rFonts w:hint="eastAsia" w:ascii="楷体" w:hAnsi="楷体" w:eastAsia="楷体" w:cs="楷体"/>
          <w:lang w:val="en-US" w:eastAsia="zh-CN"/>
        </w:rPr>
        <w:t>专题二十 仲裁协议</w:t>
      </w:r>
      <w:bookmarkEnd w:id="57"/>
      <w:bookmarkEnd w:id="58"/>
      <w:bookmarkEnd w:id="59"/>
    </w:p>
    <w:p w14:paraId="491A3D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知识点49：仲裁协议的内容和效力</w:t>
      </w:r>
    </w:p>
    <w:tbl>
      <w:tblPr>
        <w:tblStyle w:val="12"/>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893"/>
        <w:gridCol w:w="1036"/>
        <w:gridCol w:w="6590"/>
      </w:tblGrid>
      <w:tr w14:paraId="5892B5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24" w:type="pct"/>
            <w:tcBorders>
              <w:tl2br w:val="nil"/>
              <w:tr2bl w:val="nil"/>
            </w:tcBorders>
            <w:vAlign w:val="center"/>
          </w:tcPr>
          <w:p w14:paraId="45E301C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内容</w:t>
            </w:r>
          </w:p>
        </w:tc>
        <w:tc>
          <w:tcPr>
            <w:tcW w:w="4475" w:type="pct"/>
            <w:gridSpan w:val="2"/>
            <w:tcBorders>
              <w:tl2br w:val="nil"/>
              <w:tr2bl w:val="nil"/>
            </w:tcBorders>
          </w:tcPr>
          <w:p w14:paraId="43AF1E8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1.仲裁协议必须是</w:t>
            </w:r>
            <w:r>
              <w:rPr>
                <w:rFonts w:hint="eastAsia" w:ascii="楷体" w:hAnsi="楷体" w:eastAsia="楷体" w:cs="楷体"/>
                <w:color w:val="FF0000"/>
                <w:vertAlign w:val="baseline"/>
                <w:lang w:val="en-US" w:eastAsia="zh-CN"/>
              </w:rPr>
              <w:t>书面形式</w:t>
            </w:r>
            <w:r>
              <w:rPr>
                <w:rFonts w:hint="eastAsia" w:ascii="楷体" w:hAnsi="楷体" w:eastAsia="楷体" w:cs="楷体"/>
                <w:vertAlign w:val="baseline"/>
                <w:lang w:val="en-US" w:eastAsia="zh-CN"/>
              </w:rPr>
              <w:t>：以合同书、信件和数据电文（包括电报、电传、传真、电子数据交换和电子邮件）等形式</w:t>
            </w:r>
          </w:p>
          <w:p w14:paraId="31469F1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仲裁事项</w:t>
            </w:r>
            <w:r>
              <w:rPr>
                <w:rFonts w:hint="eastAsia" w:ascii="楷体" w:hAnsi="楷体" w:eastAsia="楷体" w:cs="楷体"/>
                <w:vertAlign w:val="baseline"/>
                <w:lang w:val="en-US" w:eastAsia="zh-CN"/>
              </w:rPr>
              <w:t>，即当事人应当在仲裁协议中明确提交仲裁的具体争议事项</w:t>
            </w:r>
          </w:p>
          <w:p w14:paraId="1408704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3.要求选定仲裁委员会，即约定要</w:t>
            </w:r>
            <w:r>
              <w:rPr>
                <w:rFonts w:hint="eastAsia" w:ascii="楷体" w:hAnsi="楷体" w:eastAsia="楷体" w:cs="楷体"/>
                <w:color w:val="FF0000"/>
                <w:vertAlign w:val="baseline"/>
                <w:lang w:val="en-US" w:eastAsia="zh-CN"/>
              </w:rPr>
              <w:t>明确具体</w:t>
            </w:r>
          </w:p>
        </w:tc>
      </w:tr>
      <w:tr w14:paraId="056F9D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24" w:type="pct"/>
            <w:vMerge w:val="restart"/>
            <w:tcBorders>
              <w:tl2br w:val="nil"/>
              <w:tr2bl w:val="nil"/>
            </w:tcBorders>
            <w:vAlign w:val="center"/>
          </w:tcPr>
          <w:p w14:paraId="310C661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效力</w:t>
            </w:r>
          </w:p>
        </w:tc>
        <w:tc>
          <w:tcPr>
            <w:tcW w:w="608" w:type="pct"/>
            <w:tcBorders>
              <w:tl2br w:val="nil"/>
              <w:tr2bl w:val="nil"/>
            </w:tcBorders>
            <w:vAlign w:val="center"/>
          </w:tcPr>
          <w:p w14:paraId="1D7BAF5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独立性</w:t>
            </w:r>
          </w:p>
        </w:tc>
        <w:tc>
          <w:tcPr>
            <w:tcW w:w="3867" w:type="pct"/>
            <w:tcBorders>
              <w:tl2br w:val="nil"/>
              <w:tr2bl w:val="nil"/>
            </w:tcBorders>
          </w:tcPr>
          <w:p w14:paraId="4EE0CC7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合同未成立、成立后未生效、失效或被撤销的，</w:t>
            </w:r>
            <w:r>
              <w:rPr>
                <w:rFonts w:hint="eastAsia" w:ascii="楷体" w:hAnsi="楷体" w:eastAsia="楷体" w:cs="楷体"/>
                <w:color w:val="FF0000"/>
                <w:vertAlign w:val="baseline"/>
                <w:lang w:val="en-US" w:eastAsia="zh-CN"/>
              </w:rPr>
              <w:t>不影响仲裁协议的效力</w:t>
            </w:r>
          </w:p>
        </w:tc>
      </w:tr>
      <w:tr w14:paraId="5CA902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24" w:type="pct"/>
            <w:vMerge w:val="continue"/>
            <w:tcBorders>
              <w:tl2br w:val="nil"/>
              <w:tr2bl w:val="nil"/>
            </w:tcBorders>
            <w:vAlign w:val="center"/>
          </w:tcPr>
          <w:p w14:paraId="1414831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608" w:type="pct"/>
            <w:tcBorders>
              <w:tl2br w:val="nil"/>
              <w:tr2bl w:val="nil"/>
            </w:tcBorders>
            <w:vAlign w:val="center"/>
          </w:tcPr>
          <w:p w14:paraId="15B4B6D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异议</w:t>
            </w:r>
          </w:p>
        </w:tc>
        <w:tc>
          <w:tcPr>
            <w:tcW w:w="3867" w:type="pct"/>
            <w:tcBorders>
              <w:tl2br w:val="nil"/>
              <w:tr2bl w:val="nil"/>
            </w:tcBorders>
          </w:tcPr>
          <w:p w14:paraId="3D117C6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1.确认机关：</w:t>
            </w:r>
            <w:r>
              <w:rPr>
                <w:rFonts w:hint="eastAsia" w:ascii="楷体" w:hAnsi="楷体" w:eastAsia="楷体" w:cs="楷体"/>
                <w:color w:val="FF0000"/>
                <w:vertAlign w:val="baseline"/>
                <w:lang w:val="en-US" w:eastAsia="zh-CN"/>
              </w:rPr>
              <w:t>法院和仲裁委员会</w:t>
            </w:r>
          </w:p>
          <w:p w14:paraId="75DAEAC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2.提出异议的方式</w:t>
            </w:r>
          </w:p>
          <w:p w14:paraId="4729CA1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（1）单独要求确认仲裁协议效力</w:t>
            </w:r>
          </w:p>
          <w:p w14:paraId="6F83590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人民法院（仲裁机构所在地、仲裁协议签订地、申请人或者被申请人住所地的中院和专门法院）和仲裁委员会</w:t>
            </w:r>
            <w:r>
              <w:rPr>
                <w:rFonts w:hint="eastAsia" w:ascii="楷体" w:hAnsi="楷体" w:eastAsia="楷体" w:cs="楷体"/>
                <w:color w:val="FF0000"/>
                <w:vertAlign w:val="baseline"/>
                <w:lang w:val="en-US" w:eastAsia="zh-CN"/>
              </w:rPr>
              <w:t>都有确认权</w:t>
            </w:r>
            <w:r>
              <w:rPr>
                <w:rFonts w:hint="eastAsia" w:ascii="楷体" w:hAnsi="楷体" w:eastAsia="楷体" w:cs="楷体"/>
                <w:vertAlign w:val="baseline"/>
                <w:lang w:val="en-US" w:eastAsia="zh-CN"/>
              </w:rPr>
              <w:t>；人民法院的确认权（使用裁定）</w:t>
            </w:r>
            <w:r>
              <w:rPr>
                <w:rFonts w:hint="eastAsia" w:ascii="楷体" w:hAnsi="楷体" w:eastAsia="楷体" w:cs="楷体"/>
                <w:color w:val="FF0000"/>
                <w:vertAlign w:val="baseline"/>
                <w:lang w:val="en-US" w:eastAsia="zh-CN"/>
              </w:rPr>
              <w:t>优先</w:t>
            </w:r>
            <w:r>
              <w:rPr>
                <w:rFonts w:hint="eastAsia" w:ascii="楷体" w:hAnsi="楷体" w:eastAsia="楷体" w:cs="楷体"/>
                <w:vertAlign w:val="baseline"/>
                <w:lang w:val="en-US" w:eastAsia="zh-CN"/>
              </w:rPr>
              <w:t>；</w:t>
            </w:r>
            <w:r>
              <w:rPr>
                <w:rFonts w:hint="eastAsia" w:ascii="楷体" w:hAnsi="楷体" w:eastAsia="楷体" w:cs="楷体"/>
                <w:color w:val="FF0000"/>
                <w:vertAlign w:val="baseline"/>
                <w:lang w:val="en-US" w:eastAsia="zh-CN"/>
              </w:rPr>
              <w:t>仲裁委员会先于法院做出的有效</w:t>
            </w:r>
          </w:p>
          <w:p w14:paraId="23CDC2F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（2）解决争议的同时要求确认仲裁协议效力</w:t>
            </w:r>
          </w:p>
          <w:p w14:paraId="371C15B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向仲裁机构申请仲裁或向人民法院起诉；当事人对仲裁协议的效力有异议，应当在</w:t>
            </w:r>
            <w:r>
              <w:rPr>
                <w:rFonts w:hint="eastAsia" w:ascii="楷体" w:hAnsi="楷体" w:eastAsia="楷体" w:cs="楷体"/>
                <w:color w:val="FF0000"/>
                <w:vertAlign w:val="baseline"/>
                <w:lang w:val="en-US" w:eastAsia="zh-CN"/>
              </w:rPr>
              <w:t>首次开庭前</w:t>
            </w:r>
            <w:r>
              <w:rPr>
                <w:rFonts w:hint="eastAsia" w:ascii="楷体" w:hAnsi="楷体" w:eastAsia="楷体" w:cs="楷体"/>
                <w:vertAlign w:val="baseline"/>
                <w:lang w:val="en-US" w:eastAsia="zh-CN"/>
              </w:rPr>
              <w:t>提出</w:t>
            </w:r>
          </w:p>
        </w:tc>
      </w:tr>
    </w:tbl>
    <w:p w14:paraId="5A517482">
      <w:pPr>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br w:type="page"/>
      </w:r>
    </w:p>
    <w:p w14:paraId="18B3F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知识点50：仲裁协议的无效</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871"/>
        <w:gridCol w:w="7651"/>
      </w:tblGrid>
      <w:tr w14:paraId="15F48C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11" w:type="pct"/>
            <w:tcBorders>
              <w:tl2br w:val="nil"/>
              <w:tr2bl w:val="nil"/>
            </w:tcBorders>
            <w:vAlign w:val="center"/>
          </w:tcPr>
          <w:p w14:paraId="14A1584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形式</w:t>
            </w:r>
          </w:p>
        </w:tc>
        <w:tc>
          <w:tcPr>
            <w:tcW w:w="4488" w:type="pct"/>
            <w:tcBorders>
              <w:tl2br w:val="nil"/>
              <w:tr2bl w:val="nil"/>
            </w:tcBorders>
          </w:tcPr>
          <w:p w14:paraId="1A83AAB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口头方式订立的仲裁协议无效</w:t>
            </w:r>
          </w:p>
        </w:tc>
      </w:tr>
      <w:tr w14:paraId="1B6965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0" w:hRule="atLeast"/>
        </w:trPr>
        <w:tc>
          <w:tcPr>
            <w:tcW w:w="511" w:type="pct"/>
            <w:tcBorders>
              <w:tl2br w:val="nil"/>
              <w:tr2bl w:val="nil"/>
            </w:tcBorders>
            <w:vAlign w:val="center"/>
          </w:tcPr>
          <w:p w14:paraId="6B860E5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事项</w:t>
            </w:r>
          </w:p>
        </w:tc>
        <w:tc>
          <w:tcPr>
            <w:tcW w:w="4488" w:type="pct"/>
            <w:tcBorders>
              <w:tl2br w:val="nil"/>
              <w:tr2bl w:val="nil"/>
            </w:tcBorders>
          </w:tcPr>
          <w:p w14:paraId="67ECDB4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对仲裁事项无约定、不明确</w:t>
            </w:r>
            <w:r>
              <w:rPr>
                <w:rFonts w:hint="eastAsia" w:ascii="楷体" w:hAnsi="楷体" w:eastAsia="楷体" w:cs="楷体"/>
                <w:vertAlign w:val="baseline"/>
                <w:lang w:val="en-US" w:eastAsia="zh-CN"/>
              </w:rPr>
              <w:t>；约定的仲裁事项</w:t>
            </w:r>
            <w:r>
              <w:rPr>
                <w:rFonts w:hint="eastAsia" w:ascii="楷体" w:hAnsi="楷体" w:eastAsia="楷体" w:cs="楷体"/>
                <w:color w:val="FF0000"/>
                <w:vertAlign w:val="baseline"/>
                <w:lang w:val="en-US" w:eastAsia="zh-CN"/>
              </w:rPr>
              <w:t>超出法律规定的仲裁范围</w:t>
            </w:r>
          </w:p>
        </w:tc>
      </w:tr>
      <w:tr w14:paraId="191592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11" w:type="pct"/>
            <w:tcBorders>
              <w:tl2br w:val="nil"/>
              <w:tr2bl w:val="nil"/>
            </w:tcBorders>
            <w:vAlign w:val="center"/>
          </w:tcPr>
          <w:p w14:paraId="232911E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主体</w:t>
            </w:r>
          </w:p>
        </w:tc>
        <w:tc>
          <w:tcPr>
            <w:tcW w:w="4488" w:type="pct"/>
            <w:tcBorders>
              <w:tl2br w:val="nil"/>
              <w:tr2bl w:val="nil"/>
            </w:tcBorders>
          </w:tcPr>
          <w:p w14:paraId="26E65A6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无民事行为能力人或者限制民事行为能力人</w:t>
            </w:r>
            <w:r>
              <w:rPr>
                <w:rFonts w:hint="eastAsia" w:ascii="楷体" w:hAnsi="楷体" w:eastAsia="楷体" w:cs="楷体"/>
                <w:vertAlign w:val="baseline"/>
                <w:lang w:val="en-US" w:eastAsia="zh-CN"/>
              </w:rPr>
              <w:t>订立的仲裁协议</w:t>
            </w:r>
          </w:p>
        </w:tc>
      </w:tr>
      <w:tr w14:paraId="624618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11" w:type="pct"/>
            <w:tcBorders>
              <w:tl2br w:val="nil"/>
              <w:tr2bl w:val="nil"/>
            </w:tcBorders>
            <w:vAlign w:val="center"/>
          </w:tcPr>
          <w:p w14:paraId="6BD5F4AE">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手段</w:t>
            </w:r>
          </w:p>
        </w:tc>
        <w:tc>
          <w:tcPr>
            <w:tcW w:w="4488" w:type="pct"/>
            <w:tcBorders>
              <w:tl2br w:val="nil"/>
              <w:tr2bl w:val="nil"/>
            </w:tcBorders>
          </w:tcPr>
          <w:p w14:paraId="2D8842F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一方采取</w:t>
            </w:r>
            <w:r>
              <w:rPr>
                <w:rFonts w:hint="eastAsia" w:ascii="楷体" w:hAnsi="楷体" w:eastAsia="楷体" w:cs="楷体"/>
                <w:color w:val="FF0000"/>
                <w:vertAlign w:val="baseline"/>
                <w:lang w:val="en-US" w:eastAsia="zh-CN"/>
              </w:rPr>
              <w:t>胁迫手段</w:t>
            </w:r>
            <w:r>
              <w:rPr>
                <w:rFonts w:hint="eastAsia" w:ascii="楷体" w:hAnsi="楷体" w:eastAsia="楷体" w:cs="楷体"/>
                <w:vertAlign w:val="baseline"/>
                <w:lang w:val="en-US" w:eastAsia="zh-CN"/>
              </w:rPr>
              <w:t>，迫使对方订立仲裁协议的</w:t>
            </w:r>
          </w:p>
        </w:tc>
      </w:tr>
      <w:tr w14:paraId="4946B2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11" w:type="pct"/>
            <w:tcBorders>
              <w:tl2br w:val="nil"/>
              <w:tr2bl w:val="nil"/>
            </w:tcBorders>
            <w:vAlign w:val="center"/>
          </w:tcPr>
          <w:p w14:paraId="2D7FA76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机构</w:t>
            </w:r>
          </w:p>
        </w:tc>
        <w:tc>
          <w:tcPr>
            <w:tcW w:w="4488" w:type="pct"/>
            <w:tcBorders>
              <w:tl2br w:val="nil"/>
              <w:tr2bl w:val="nil"/>
            </w:tcBorders>
          </w:tcPr>
          <w:p w14:paraId="55B926C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对仲裁委员会无约定、约定不明确或选择的仲裁机构不存在的。</w:t>
            </w:r>
          </w:p>
          <w:p w14:paraId="036C8EC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无约定</w:t>
            </w:r>
            <w:r>
              <w:rPr>
                <w:rFonts w:hint="eastAsia" w:ascii="楷体" w:hAnsi="楷体" w:eastAsia="楷体" w:cs="楷体"/>
                <w:vertAlign w:val="baseline"/>
                <w:lang w:val="en-US" w:eastAsia="zh-CN"/>
              </w:rPr>
              <w:t>：提交有管辖权的仲裁委员会仲裁。</w:t>
            </w:r>
          </w:p>
          <w:p w14:paraId="2E05300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不明确</w:t>
            </w:r>
            <w:r>
              <w:rPr>
                <w:rFonts w:hint="eastAsia" w:ascii="楷体" w:hAnsi="楷体" w:eastAsia="楷体" w:cs="楷体"/>
                <w:vertAlign w:val="baseline"/>
                <w:lang w:val="en-US" w:eastAsia="zh-CN"/>
              </w:rPr>
              <w:t>：仲裁协议约定两个以上仲裁机构的，当事人可以协议（书面；一方申请仲裁，另一方在仲裁庭首次开庭前不提出异议）选择其中的一个仲裁机构申请仲裁；当事人不能就仲裁机构选择达成一致的，仲裁协议无效。</w:t>
            </w:r>
          </w:p>
          <w:p w14:paraId="216E494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不存在</w:t>
            </w:r>
            <w:r>
              <w:rPr>
                <w:rFonts w:hint="eastAsia" w:ascii="楷体" w:hAnsi="楷体" w:eastAsia="楷体" w:cs="楷体"/>
                <w:vertAlign w:val="baseline"/>
                <w:lang w:val="en-US" w:eastAsia="zh-CN"/>
              </w:rPr>
              <w:t>：区县没有；地级市不一定有；省会城市、自治区首府、直辖市所在地城市一定有</w:t>
            </w:r>
          </w:p>
        </w:tc>
      </w:tr>
      <w:tr w14:paraId="7A6D28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511" w:type="pct"/>
            <w:tcBorders>
              <w:tl2br w:val="nil"/>
              <w:tr2bl w:val="nil"/>
            </w:tcBorders>
            <w:vAlign w:val="center"/>
          </w:tcPr>
          <w:p w14:paraId="5809588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效力</w:t>
            </w:r>
          </w:p>
        </w:tc>
        <w:tc>
          <w:tcPr>
            <w:tcW w:w="4488" w:type="pct"/>
            <w:tcBorders>
              <w:tl2br w:val="nil"/>
              <w:tr2bl w:val="nil"/>
            </w:tcBorders>
          </w:tcPr>
          <w:p w14:paraId="0C8E175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1.仲裁终局性不确定：</w:t>
            </w:r>
            <w:r>
              <w:rPr>
                <w:rFonts w:hint="eastAsia" w:ascii="楷体" w:hAnsi="楷体" w:eastAsia="楷体" w:cs="楷体"/>
                <w:color w:val="FF0000"/>
                <w:vertAlign w:val="baseline"/>
                <w:lang w:val="en-US" w:eastAsia="zh-CN"/>
              </w:rPr>
              <w:t>先裁（可以有效）后诉（无效）</w:t>
            </w:r>
          </w:p>
          <w:p w14:paraId="7DDB704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2.可选择诉讼或仲裁的协议：</w:t>
            </w:r>
            <w:r>
              <w:rPr>
                <w:rFonts w:hint="eastAsia" w:ascii="楷体" w:hAnsi="楷体" w:eastAsia="楷体" w:cs="楷体"/>
                <w:color w:val="FF0000"/>
                <w:vertAlign w:val="baseline"/>
                <w:lang w:val="en-US" w:eastAsia="zh-CN"/>
              </w:rPr>
              <w:t>或裁（原则无效）或诉（可以有效）</w:t>
            </w:r>
          </w:p>
        </w:tc>
      </w:tr>
    </w:tbl>
    <w:p w14:paraId="36E9E728">
      <w:pPr>
        <w:pStyle w:val="3"/>
        <w:bidi w:val="0"/>
        <w:rPr>
          <w:rFonts w:hint="eastAsia" w:ascii="楷体" w:hAnsi="楷体" w:eastAsia="楷体" w:cs="楷体"/>
          <w:lang w:val="en-US" w:eastAsia="zh-CN"/>
        </w:rPr>
      </w:pPr>
      <w:bookmarkStart w:id="60" w:name="_Toc1573"/>
      <w:bookmarkStart w:id="61" w:name="_Toc20068"/>
      <w:bookmarkStart w:id="62" w:name="_Toc28605"/>
      <w:r>
        <w:rPr>
          <w:rFonts w:hint="eastAsia" w:ascii="楷体" w:hAnsi="楷体" w:eastAsia="楷体" w:cs="楷体"/>
          <w:lang w:val="en-US" w:eastAsia="zh-CN"/>
        </w:rPr>
        <w:t>专题二十一 仲裁程序</w:t>
      </w:r>
      <w:bookmarkEnd w:id="60"/>
      <w:bookmarkEnd w:id="61"/>
      <w:bookmarkEnd w:id="62"/>
    </w:p>
    <w:p w14:paraId="4D7B12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知识点51：仲裁庭的组成</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14"/>
        <w:gridCol w:w="7208"/>
      </w:tblGrid>
      <w:tr w14:paraId="5F7558A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1" w:type="pct"/>
            <w:tcBorders>
              <w:tl2br w:val="nil"/>
              <w:tr2bl w:val="nil"/>
            </w:tcBorders>
            <w:vAlign w:val="center"/>
          </w:tcPr>
          <w:p w14:paraId="2579CB6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组成形式</w:t>
            </w:r>
          </w:p>
        </w:tc>
        <w:tc>
          <w:tcPr>
            <w:tcW w:w="4228" w:type="pct"/>
            <w:tcBorders>
              <w:tl2br w:val="nil"/>
              <w:tr2bl w:val="nil"/>
            </w:tcBorders>
          </w:tcPr>
          <w:p w14:paraId="497E972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三名仲裁员</w:t>
            </w:r>
            <w:r>
              <w:rPr>
                <w:rFonts w:hint="eastAsia" w:ascii="楷体" w:hAnsi="楷体" w:eastAsia="楷体" w:cs="楷体"/>
                <w:vertAlign w:val="baseline"/>
                <w:lang w:val="en-US" w:eastAsia="zh-CN"/>
              </w:rPr>
              <w:t>组成合议仲裁庭或者</w:t>
            </w:r>
            <w:r>
              <w:rPr>
                <w:rFonts w:hint="eastAsia" w:ascii="楷体" w:hAnsi="楷体" w:eastAsia="楷体" w:cs="楷体"/>
                <w:color w:val="FF0000"/>
                <w:vertAlign w:val="baseline"/>
                <w:lang w:val="en-US" w:eastAsia="zh-CN"/>
              </w:rPr>
              <w:t>一名仲裁员</w:t>
            </w:r>
            <w:r>
              <w:rPr>
                <w:rFonts w:hint="eastAsia" w:ascii="楷体" w:hAnsi="楷体" w:eastAsia="楷体" w:cs="楷体"/>
                <w:vertAlign w:val="baseline"/>
                <w:lang w:val="en-US" w:eastAsia="zh-CN"/>
              </w:rPr>
              <w:t>组成独任仲裁庭</w:t>
            </w:r>
          </w:p>
        </w:tc>
      </w:tr>
      <w:tr w14:paraId="262D09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1" w:type="pct"/>
            <w:tcBorders>
              <w:tl2br w:val="nil"/>
              <w:tr2bl w:val="nil"/>
            </w:tcBorders>
            <w:vAlign w:val="center"/>
          </w:tcPr>
          <w:p w14:paraId="10E6B6E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组成程序</w:t>
            </w:r>
          </w:p>
        </w:tc>
        <w:tc>
          <w:tcPr>
            <w:tcW w:w="4228" w:type="pct"/>
            <w:tcBorders>
              <w:tl2br w:val="nil"/>
              <w:tr2bl w:val="nil"/>
            </w:tcBorders>
          </w:tcPr>
          <w:p w14:paraId="4024A2E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1.先确定仲裁庭的组成形式：</w:t>
            </w:r>
          </w:p>
          <w:p w14:paraId="2A3B514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当事人约定</w:t>
            </w:r>
            <w:r>
              <w:rPr>
                <w:rFonts w:hint="eastAsia" w:ascii="楷体" w:hAnsi="楷体" w:eastAsia="楷体" w:cs="楷体"/>
                <w:vertAlign w:val="baseline"/>
                <w:lang w:val="en-US" w:eastAsia="zh-CN"/>
              </w:rPr>
              <w:t>合议仲裁还是独任仲裁，如果当事人在规定期限没有约定的，由</w:t>
            </w:r>
            <w:r>
              <w:rPr>
                <w:rFonts w:hint="eastAsia" w:ascii="楷体" w:hAnsi="楷体" w:eastAsia="楷体" w:cs="楷体"/>
                <w:color w:val="FF0000"/>
                <w:vertAlign w:val="baseline"/>
                <w:lang w:val="en-US" w:eastAsia="zh-CN"/>
              </w:rPr>
              <w:t>仲裁委员会主任指定</w:t>
            </w:r>
          </w:p>
          <w:p w14:paraId="1B53672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2.再确定仲裁员：</w:t>
            </w:r>
          </w:p>
          <w:p w14:paraId="795D687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合议仲裁庭仲裁员产生方式：先由当事人各自选定或者各自委托主任指定一名仲裁员，</w:t>
            </w:r>
            <w:r>
              <w:rPr>
                <w:rFonts w:hint="eastAsia" w:ascii="楷体" w:hAnsi="楷体" w:eastAsia="楷体" w:cs="楷体"/>
                <w:color w:val="FF0000"/>
                <w:vertAlign w:val="baseline"/>
                <w:lang w:val="en-US" w:eastAsia="zh-CN"/>
              </w:rPr>
              <w:t>第三名仲裁员，也就是首席仲裁员，由当事人共同选定或者共同委托主任指定</w:t>
            </w:r>
          </w:p>
          <w:p w14:paraId="66E52EE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独任仲裁员产生方式：</w:t>
            </w:r>
            <w:r>
              <w:rPr>
                <w:rFonts w:hint="eastAsia" w:ascii="楷体" w:hAnsi="楷体" w:eastAsia="楷体" w:cs="楷体"/>
                <w:color w:val="FF0000"/>
                <w:vertAlign w:val="baseline"/>
                <w:lang w:val="en-US" w:eastAsia="zh-CN"/>
              </w:rPr>
              <w:t>与首席仲裁员产生方式一样，由当事人共同选定或者共同委托主任指定</w:t>
            </w:r>
          </w:p>
        </w:tc>
      </w:tr>
    </w:tbl>
    <w:p w14:paraId="68C32D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知识点52：仲裁员的回避</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156"/>
        <w:gridCol w:w="7366"/>
      </w:tblGrid>
      <w:tr w14:paraId="676C87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0" w:hRule="atLeast"/>
        </w:trPr>
        <w:tc>
          <w:tcPr>
            <w:tcW w:w="678" w:type="pct"/>
            <w:tcBorders>
              <w:tl2br w:val="nil"/>
              <w:tr2bl w:val="nil"/>
            </w:tcBorders>
            <w:vAlign w:val="center"/>
          </w:tcPr>
          <w:p w14:paraId="2854615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法定情形</w:t>
            </w:r>
          </w:p>
        </w:tc>
        <w:tc>
          <w:tcPr>
            <w:tcW w:w="4321" w:type="pct"/>
            <w:tcBorders>
              <w:tl2br w:val="nil"/>
              <w:tr2bl w:val="nil"/>
            </w:tcBorders>
          </w:tcPr>
          <w:p w14:paraId="0A7BCB8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1.是本案当事人或者当事人、代理人的近亲属</w:t>
            </w:r>
          </w:p>
          <w:p w14:paraId="7650185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2.与本案有利害关系</w:t>
            </w:r>
          </w:p>
          <w:p w14:paraId="60F0479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3.与本案当事人、代理人有其他关系，可能影响公正仲裁的</w:t>
            </w:r>
          </w:p>
          <w:p w14:paraId="1B4E7DC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4.私自会见当事人、代理人，或者接受当事人、代理人请客送礼的</w:t>
            </w:r>
          </w:p>
        </w:tc>
      </w:tr>
      <w:tr w14:paraId="2C905A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0" w:hRule="atLeast"/>
        </w:trPr>
        <w:tc>
          <w:tcPr>
            <w:tcW w:w="678" w:type="pct"/>
            <w:tcBorders>
              <w:tl2br w:val="nil"/>
              <w:tr2bl w:val="nil"/>
            </w:tcBorders>
            <w:vAlign w:val="center"/>
          </w:tcPr>
          <w:p w14:paraId="3076D21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方式</w:t>
            </w:r>
          </w:p>
        </w:tc>
        <w:tc>
          <w:tcPr>
            <w:tcW w:w="4321" w:type="pct"/>
            <w:tcBorders>
              <w:tl2br w:val="nil"/>
              <w:tr2bl w:val="nil"/>
            </w:tcBorders>
          </w:tcPr>
          <w:p w14:paraId="4597573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1.自行回避</w:t>
            </w:r>
          </w:p>
          <w:p w14:paraId="1440E26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2.申请回避</w:t>
            </w:r>
          </w:p>
        </w:tc>
      </w:tr>
      <w:tr w14:paraId="36D044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0" w:hRule="atLeast"/>
        </w:trPr>
        <w:tc>
          <w:tcPr>
            <w:tcW w:w="678" w:type="pct"/>
            <w:tcBorders>
              <w:tl2br w:val="nil"/>
              <w:tr2bl w:val="nil"/>
            </w:tcBorders>
            <w:vAlign w:val="center"/>
          </w:tcPr>
          <w:p w14:paraId="6C23EAC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决定权</w:t>
            </w:r>
          </w:p>
        </w:tc>
        <w:tc>
          <w:tcPr>
            <w:tcW w:w="4321" w:type="pct"/>
            <w:tcBorders>
              <w:tl2br w:val="nil"/>
              <w:tr2bl w:val="nil"/>
            </w:tcBorders>
            <w:vAlign w:val="center"/>
          </w:tcPr>
          <w:p w14:paraId="72ACC7E0">
            <w:pPr>
              <w:keepNext w:val="0"/>
              <w:keepLines w:val="0"/>
              <w:widowControl/>
              <w:suppressLineNumbers w:val="0"/>
              <w:jc w:val="left"/>
              <w:rPr>
                <w:rFonts w:hint="eastAsia" w:ascii="楷体" w:hAnsi="楷体" w:eastAsia="楷体" w:cs="楷体"/>
                <w:vertAlign w:val="baseline"/>
                <w:lang w:val="en-US" w:eastAsia="zh-CN"/>
              </w:rPr>
            </w:pPr>
            <w:r>
              <w:rPr>
                <w:rFonts w:hint="eastAsia" w:ascii="楷体" w:hAnsi="楷体" w:eastAsia="楷体" w:cs="楷体"/>
                <w:color w:val="000000"/>
                <w:kern w:val="0"/>
                <w:sz w:val="21"/>
                <w:szCs w:val="21"/>
                <w:lang w:val="en-US" w:eastAsia="zh-CN" w:bidi="ar"/>
              </w:rPr>
              <w:t>仲裁员的回避由仲裁委员会的</w:t>
            </w:r>
            <w:r>
              <w:rPr>
                <w:rFonts w:hint="eastAsia" w:ascii="楷体" w:hAnsi="楷体" w:eastAsia="楷体" w:cs="楷体"/>
                <w:color w:val="FF0000"/>
                <w:kern w:val="0"/>
                <w:sz w:val="21"/>
                <w:szCs w:val="21"/>
                <w:lang w:val="en-US" w:eastAsia="zh-CN" w:bidi="ar"/>
              </w:rPr>
              <w:t>主任</w:t>
            </w:r>
            <w:r>
              <w:rPr>
                <w:rFonts w:hint="eastAsia" w:ascii="楷体" w:hAnsi="楷体" w:eastAsia="楷体" w:cs="楷体"/>
                <w:color w:val="000000"/>
                <w:kern w:val="0"/>
                <w:sz w:val="21"/>
                <w:szCs w:val="21"/>
                <w:lang w:val="en-US" w:eastAsia="zh-CN" w:bidi="ar"/>
              </w:rPr>
              <w:t>决定；仲裁委主任的回避由</w:t>
            </w:r>
            <w:r>
              <w:rPr>
                <w:rFonts w:hint="eastAsia" w:ascii="楷体" w:hAnsi="楷体" w:eastAsia="楷体" w:cs="楷体"/>
                <w:color w:val="FF0000"/>
                <w:kern w:val="0"/>
                <w:sz w:val="21"/>
                <w:szCs w:val="21"/>
                <w:lang w:val="en-US" w:eastAsia="zh-CN" w:bidi="ar"/>
              </w:rPr>
              <w:t>仲裁委员会</w:t>
            </w:r>
            <w:r>
              <w:rPr>
                <w:rFonts w:hint="eastAsia" w:ascii="楷体" w:hAnsi="楷体" w:eastAsia="楷体" w:cs="楷体"/>
                <w:color w:val="000000"/>
                <w:kern w:val="0"/>
                <w:sz w:val="21"/>
                <w:szCs w:val="21"/>
                <w:lang w:val="en-US" w:eastAsia="zh-CN" w:bidi="ar"/>
              </w:rPr>
              <w:t>决定</w:t>
            </w:r>
          </w:p>
        </w:tc>
      </w:tr>
      <w:tr w14:paraId="1FBAEC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0" w:hRule="atLeast"/>
        </w:trPr>
        <w:tc>
          <w:tcPr>
            <w:tcW w:w="678" w:type="pct"/>
            <w:tcBorders>
              <w:tl2br w:val="nil"/>
              <w:tr2bl w:val="nil"/>
            </w:tcBorders>
            <w:vAlign w:val="center"/>
          </w:tcPr>
          <w:p w14:paraId="2011157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后果</w:t>
            </w:r>
          </w:p>
        </w:tc>
        <w:tc>
          <w:tcPr>
            <w:tcW w:w="4321" w:type="pct"/>
            <w:tcBorders>
              <w:tl2br w:val="nil"/>
              <w:tr2bl w:val="nil"/>
            </w:tcBorders>
          </w:tcPr>
          <w:p w14:paraId="26C94CBA">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1.按照原来的程序</w:t>
            </w:r>
            <w:r>
              <w:rPr>
                <w:rFonts w:hint="eastAsia" w:ascii="楷体" w:hAnsi="楷体" w:eastAsia="楷体" w:cs="楷体"/>
                <w:color w:val="FF0000"/>
                <w:vertAlign w:val="baseline"/>
                <w:lang w:val="en-US" w:eastAsia="zh-CN"/>
              </w:rPr>
              <w:t>重新选定或指定</w:t>
            </w:r>
            <w:r>
              <w:rPr>
                <w:rFonts w:hint="eastAsia" w:ascii="楷体" w:hAnsi="楷体" w:eastAsia="楷体" w:cs="楷体"/>
                <w:vertAlign w:val="baseline"/>
                <w:lang w:val="en-US" w:eastAsia="zh-CN"/>
              </w:rPr>
              <w:t>仲裁员</w:t>
            </w:r>
          </w:p>
          <w:p w14:paraId="3EDF5F0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2.当事人可申请已经进行的仲裁程序重新进行，</w:t>
            </w:r>
            <w:r>
              <w:rPr>
                <w:rFonts w:hint="eastAsia" w:ascii="楷体" w:hAnsi="楷体" w:eastAsia="楷体" w:cs="楷体"/>
                <w:color w:val="FF0000"/>
                <w:vertAlign w:val="baseline"/>
                <w:lang w:val="en-US" w:eastAsia="zh-CN"/>
              </w:rPr>
              <w:t>由仲裁庭决定</w:t>
            </w:r>
            <w:r>
              <w:rPr>
                <w:rFonts w:hint="eastAsia" w:ascii="楷体" w:hAnsi="楷体" w:eastAsia="楷体" w:cs="楷体"/>
                <w:vertAlign w:val="baseline"/>
                <w:lang w:val="en-US" w:eastAsia="zh-CN"/>
              </w:rPr>
              <w:t>；仲裁庭也可以自行决定已经进行的仲裁程序重新进行</w:t>
            </w:r>
          </w:p>
        </w:tc>
      </w:tr>
    </w:tbl>
    <w:p w14:paraId="4E738F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知识点53：仲裁裁决和解、调解</w:t>
      </w:r>
    </w:p>
    <w:tbl>
      <w:tblPr>
        <w:tblStyle w:val="12"/>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733"/>
        <w:gridCol w:w="963"/>
        <w:gridCol w:w="6824"/>
      </w:tblGrid>
      <w:tr w14:paraId="0FE38AE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c>
          <w:tcPr>
            <w:tcW w:w="430" w:type="pct"/>
            <w:vMerge w:val="restart"/>
            <w:tcBorders>
              <w:tl2br w:val="nil"/>
              <w:tr2bl w:val="nil"/>
            </w:tcBorders>
            <w:vAlign w:val="center"/>
          </w:tcPr>
          <w:p w14:paraId="7BEA57A1">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裁决</w:t>
            </w:r>
          </w:p>
        </w:tc>
        <w:tc>
          <w:tcPr>
            <w:tcW w:w="565" w:type="pct"/>
            <w:tcBorders>
              <w:tl2br w:val="nil"/>
              <w:tr2bl w:val="nil"/>
            </w:tcBorders>
            <w:vAlign w:val="center"/>
          </w:tcPr>
          <w:p w14:paraId="434C15A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作出</w:t>
            </w:r>
          </w:p>
        </w:tc>
        <w:tc>
          <w:tcPr>
            <w:tcW w:w="4004" w:type="pct"/>
            <w:tcBorders>
              <w:tl2br w:val="nil"/>
              <w:tr2bl w:val="nil"/>
            </w:tcBorders>
          </w:tcPr>
          <w:p w14:paraId="15E32C9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以少数服从多数为原则</w:t>
            </w:r>
            <w:r>
              <w:rPr>
                <w:rFonts w:hint="eastAsia" w:ascii="楷体" w:hAnsi="楷体" w:eastAsia="楷体" w:cs="楷体"/>
                <w:vertAlign w:val="baseline"/>
                <w:lang w:val="en-US" w:eastAsia="zh-CN"/>
              </w:rPr>
              <w:t>，形不成多数意见时按照首席仲裁员的意见作出；评议中的不同意见记入笔录。</w:t>
            </w:r>
          </w:p>
        </w:tc>
      </w:tr>
      <w:tr w14:paraId="65CB8A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430" w:type="pct"/>
            <w:vMerge w:val="continue"/>
            <w:tcBorders>
              <w:tl2br w:val="nil"/>
              <w:tr2bl w:val="nil"/>
            </w:tcBorders>
            <w:vAlign w:val="center"/>
          </w:tcPr>
          <w:p w14:paraId="0E294C3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565" w:type="pct"/>
            <w:tcBorders>
              <w:tl2br w:val="nil"/>
              <w:tr2bl w:val="nil"/>
            </w:tcBorders>
            <w:vAlign w:val="center"/>
          </w:tcPr>
          <w:p w14:paraId="37D02EDA">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签名</w:t>
            </w:r>
          </w:p>
        </w:tc>
        <w:tc>
          <w:tcPr>
            <w:tcW w:w="4004" w:type="pct"/>
            <w:tcBorders>
              <w:tl2br w:val="nil"/>
              <w:tr2bl w:val="nil"/>
            </w:tcBorders>
          </w:tcPr>
          <w:p w14:paraId="173A52C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裁决书由仲裁员签名，</w:t>
            </w:r>
            <w:r>
              <w:rPr>
                <w:rFonts w:hint="eastAsia" w:ascii="楷体" w:hAnsi="楷体" w:eastAsia="楷体" w:cs="楷体"/>
                <w:color w:val="FF0000"/>
                <w:vertAlign w:val="baseline"/>
                <w:lang w:val="en-US" w:eastAsia="zh-CN"/>
              </w:rPr>
              <w:t>对裁决持不同意见的仲裁员可以拒绝签名</w:t>
            </w:r>
          </w:p>
        </w:tc>
      </w:tr>
      <w:tr w14:paraId="31171C1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430" w:type="pct"/>
            <w:vMerge w:val="continue"/>
            <w:tcBorders>
              <w:tl2br w:val="nil"/>
              <w:tr2bl w:val="nil"/>
            </w:tcBorders>
            <w:vAlign w:val="center"/>
          </w:tcPr>
          <w:p w14:paraId="6F93263F">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p>
        </w:tc>
        <w:tc>
          <w:tcPr>
            <w:tcW w:w="565" w:type="pct"/>
            <w:tcBorders>
              <w:tl2br w:val="nil"/>
              <w:tr2bl w:val="nil"/>
            </w:tcBorders>
            <w:vAlign w:val="center"/>
          </w:tcPr>
          <w:p w14:paraId="7F90CC1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效力</w:t>
            </w:r>
          </w:p>
        </w:tc>
        <w:tc>
          <w:tcPr>
            <w:tcW w:w="4004" w:type="pct"/>
            <w:tcBorders>
              <w:tl2br w:val="nil"/>
              <w:tr2bl w:val="nil"/>
            </w:tcBorders>
          </w:tcPr>
          <w:p w14:paraId="0F6C66A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1.仲裁裁决自作出之日起生效</w:t>
            </w:r>
          </w:p>
          <w:p w14:paraId="534D288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当事人不得就已经裁决的事项再行申请仲裁，也不得起诉</w:t>
            </w:r>
          </w:p>
          <w:p w14:paraId="101B333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3.仲裁裁决具有</w:t>
            </w:r>
            <w:r>
              <w:rPr>
                <w:rFonts w:hint="eastAsia" w:ascii="楷体" w:hAnsi="楷体" w:eastAsia="楷体" w:cs="楷体"/>
                <w:color w:val="FF0000"/>
                <w:vertAlign w:val="baseline"/>
                <w:lang w:val="en-US" w:eastAsia="zh-CN"/>
              </w:rPr>
              <w:t>强制执行</w:t>
            </w:r>
            <w:r>
              <w:rPr>
                <w:rFonts w:hint="eastAsia" w:ascii="楷体" w:hAnsi="楷体" w:eastAsia="楷体" w:cs="楷体"/>
                <w:vertAlign w:val="baseline"/>
                <w:lang w:val="en-US" w:eastAsia="zh-CN"/>
              </w:rPr>
              <w:t>力</w:t>
            </w:r>
          </w:p>
        </w:tc>
      </w:tr>
      <w:tr w14:paraId="15B1C8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430" w:type="pct"/>
            <w:tcBorders>
              <w:tl2br w:val="nil"/>
              <w:tr2bl w:val="nil"/>
            </w:tcBorders>
            <w:vAlign w:val="center"/>
          </w:tcPr>
          <w:p w14:paraId="0BE58638">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和解</w:t>
            </w:r>
          </w:p>
        </w:tc>
        <w:tc>
          <w:tcPr>
            <w:tcW w:w="4569" w:type="pct"/>
            <w:gridSpan w:val="2"/>
            <w:tcBorders>
              <w:tl2br w:val="nil"/>
              <w:tr2bl w:val="nil"/>
            </w:tcBorders>
          </w:tcPr>
          <w:p w14:paraId="0D542EC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color w:val="FF0000"/>
                <w:vertAlign w:val="baseline"/>
                <w:lang w:val="en-US" w:eastAsia="zh-CN"/>
              </w:rPr>
            </w:pPr>
            <w:r>
              <w:rPr>
                <w:rFonts w:hint="eastAsia" w:ascii="楷体" w:hAnsi="楷体" w:eastAsia="楷体" w:cs="楷体"/>
                <w:vertAlign w:val="baseline"/>
                <w:lang w:val="en-US" w:eastAsia="zh-CN"/>
              </w:rPr>
              <w:t>1.达成和解协议后的结案方式：</w:t>
            </w:r>
            <w:r>
              <w:rPr>
                <w:rFonts w:hint="eastAsia" w:ascii="楷体" w:hAnsi="楷体" w:eastAsia="楷体" w:cs="楷体"/>
                <w:color w:val="FF0000"/>
                <w:vertAlign w:val="baseline"/>
                <w:lang w:val="en-US" w:eastAsia="zh-CN"/>
              </w:rPr>
              <w:t>撤回仲裁申请</w:t>
            </w:r>
            <w:r>
              <w:rPr>
                <w:rFonts w:hint="eastAsia" w:ascii="楷体" w:hAnsi="楷体" w:eastAsia="楷体" w:cs="楷体"/>
                <w:vertAlign w:val="baseline"/>
                <w:lang w:val="en-US" w:eastAsia="zh-CN"/>
              </w:rPr>
              <w:t>或</w:t>
            </w:r>
            <w:r>
              <w:rPr>
                <w:rFonts w:hint="eastAsia" w:ascii="楷体" w:hAnsi="楷体" w:eastAsia="楷体" w:cs="楷体"/>
                <w:color w:val="FF0000"/>
                <w:vertAlign w:val="baseline"/>
                <w:lang w:val="en-US" w:eastAsia="zh-CN"/>
              </w:rPr>
              <w:t>请求仲裁庭根据和解协议制作裁决书</w:t>
            </w:r>
          </w:p>
          <w:p w14:paraId="346D0BE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2.撤回仲裁申请后反悔的或者对方不履行和解协议的：</w:t>
            </w:r>
            <w:r>
              <w:rPr>
                <w:rFonts w:hint="eastAsia" w:ascii="楷体" w:hAnsi="楷体" w:eastAsia="楷体" w:cs="楷体"/>
                <w:color w:val="FF0000"/>
                <w:vertAlign w:val="baseline"/>
                <w:lang w:val="en-US" w:eastAsia="zh-CN"/>
              </w:rPr>
              <w:t>依据原仲裁协议申请仲裁</w:t>
            </w:r>
          </w:p>
        </w:tc>
      </w:tr>
      <w:tr w14:paraId="00462B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430" w:type="pct"/>
            <w:tcBorders>
              <w:tl2br w:val="nil"/>
              <w:tr2bl w:val="nil"/>
            </w:tcBorders>
            <w:vAlign w:val="center"/>
          </w:tcPr>
          <w:p w14:paraId="1C93FE0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调解</w:t>
            </w:r>
          </w:p>
        </w:tc>
        <w:tc>
          <w:tcPr>
            <w:tcW w:w="4569" w:type="pct"/>
            <w:gridSpan w:val="2"/>
            <w:tcBorders>
              <w:tl2br w:val="nil"/>
              <w:tr2bl w:val="nil"/>
            </w:tcBorders>
          </w:tcPr>
          <w:p w14:paraId="1F0EF6D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1.仲裁庭在作出裁决前，可先行调解；当事人自愿调解的，仲裁庭</w:t>
            </w:r>
            <w:r>
              <w:rPr>
                <w:rFonts w:hint="eastAsia" w:ascii="楷体" w:hAnsi="楷体" w:eastAsia="楷体" w:cs="楷体"/>
                <w:color w:val="FF0000"/>
                <w:vertAlign w:val="baseline"/>
                <w:lang w:val="en-US" w:eastAsia="zh-CN"/>
              </w:rPr>
              <w:t>应当调解</w:t>
            </w:r>
          </w:p>
          <w:p w14:paraId="6AA90DD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2.达成调解协议后的处理：仲裁庭应当制作调解书或者根据调解协议的结果制作裁</w:t>
            </w:r>
          </w:p>
          <w:p w14:paraId="06AD394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决书</w:t>
            </w:r>
          </w:p>
          <w:p w14:paraId="5C2CD6C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3.调解书的生效：</w:t>
            </w:r>
            <w:r>
              <w:rPr>
                <w:rFonts w:hint="eastAsia" w:ascii="楷体" w:hAnsi="楷体" w:eastAsia="楷体" w:cs="楷体"/>
                <w:color w:val="FF0000"/>
                <w:vertAlign w:val="baseline"/>
                <w:lang w:val="en-US" w:eastAsia="zh-CN"/>
              </w:rPr>
              <w:t>当事人签收后</w:t>
            </w:r>
          </w:p>
        </w:tc>
      </w:tr>
    </w:tbl>
    <w:p w14:paraId="52005A98">
      <w:pPr>
        <w:pStyle w:val="3"/>
        <w:bidi w:val="0"/>
        <w:rPr>
          <w:rFonts w:hint="eastAsia" w:ascii="楷体" w:hAnsi="楷体" w:eastAsia="楷体" w:cs="楷体"/>
          <w:lang w:val="en-US" w:eastAsia="zh-CN"/>
        </w:rPr>
      </w:pPr>
      <w:bookmarkStart w:id="63" w:name="_Toc22426"/>
      <w:bookmarkStart w:id="64" w:name="_Toc16886"/>
      <w:bookmarkStart w:id="65" w:name="_Toc7931"/>
      <w:r>
        <w:rPr>
          <w:rFonts w:hint="eastAsia" w:ascii="楷体" w:hAnsi="楷体" w:eastAsia="楷体" w:cs="楷体"/>
          <w:lang w:val="en-US" w:eastAsia="zh-CN"/>
        </w:rPr>
        <w:t>专题二十二 仲裁裁决的撤销与不予执行</w:t>
      </w:r>
      <w:bookmarkEnd w:id="63"/>
      <w:bookmarkEnd w:id="64"/>
      <w:bookmarkEnd w:id="65"/>
    </w:p>
    <w:p w14:paraId="5510C6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知识点54：仲裁裁决的撤销</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21"/>
        <w:gridCol w:w="7201"/>
      </w:tblGrid>
      <w:tr w14:paraId="7ED415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33631FE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启动方式</w:t>
            </w:r>
          </w:p>
        </w:tc>
        <w:tc>
          <w:tcPr>
            <w:tcW w:w="4224" w:type="pct"/>
            <w:tcBorders>
              <w:tl2br w:val="nil"/>
              <w:tr2bl w:val="nil"/>
            </w:tcBorders>
          </w:tcPr>
          <w:p w14:paraId="5D3EB2C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原则上法院只能</w:t>
            </w:r>
            <w:r>
              <w:rPr>
                <w:rFonts w:hint="eastAsia" w:ascii="楷体" w:hAnsi="楷体" w:eastAsia="楷体" w:cs="楷体"/>
                <w:color w:val="FF0000"/>
                <w:vertAlign w:val="baseline"/>
                <w:lang w:val="en-US" w:eastAsia="zh-CN"/>
              </w:rPr>
              <w:t>依当事人的申请撤销</w:t>
            </w:r>
            <w:r>
              <w:rPr>
                <w:rFonts w:hint="eastAsia" w:ascii="楷体" w:hAnsi="楷体" w:eastAsia="楷体" w:cs="楷体"/>
                <w:vertAlign w:val="baseline"/>
                <w:lang w:val="en-US" w:eastAsia="zh-CN"/>
              </w:rPr>
              <w:t>仲裁裁决，但是法院认定该裁决违背社会公共利益的，应当</w:t>
            </w:r>
            <w:r>
              <w:rPr>
                <w:rFonts w:hint="eastAsia" w:ascii="楷体" w:hAnsi="楷体" w:eastAsia="楷体" w:cs="楷体"/>
                <w:color w:val="FF0000"/>
                <w:vertAlign w:val="baseline"/>
                <w:lang w:val="en-US" w:eastAsia="zh-CN"/>
              </w:rPr>
              <w:t>依职权裁定撤销</w:t>
            </w:r>
          </w:p>
        </w:tc>
      </w:tr>
      <w:tr w14:paraId="4116EC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139C9AE2">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主体</w:t>
            </w:r>
          </w:p>
        </w:tc>
        <w:tc>
          <w:tcPr>
            <w:tcW w:w="4224" w:type="pct"/>
            <w:tcBorders>
              <w:tl2br w:val="nil"/>
              <w:tr2bl w:val="nil"/>
            </w:tcBorders>
          </w:tcPr>
          <w:p w14:paraId="0E3D197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任何一方仲裁当事人</w:t>
            </w:r>
          </w:p>
        </w:tc>
      </w:tr>
      <w:tr w14:paraId="599BF0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02114D4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时间</w:t>
            </w:r>
          </w:p>
        </w:tc>
        <w:tc>
          <w:tcPr>
            <w:tcW w:w="4224" w:type="pct"/>
            <w:tcBorders>
              <w:tl2br w:val="nil"/>
              <w:tr2bl w:val="nil"/>
            </w:tcBorders>
          </w:tcPr>
          <w:p w14:paraId="1198B74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收到裁决书之日起6个月内</w:t>
            </w:r>
          </w:p>
        </w:tc>
      </w:tr>
      <w:tr w14:paraId="17885B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3BB70E6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管辖权</w:t>
            </w:r>
          </w:p>
        </w:tc>
        <w:tc>
          <w:tcPr>
            <w:tcW w:w="4224" w:type="pct"/>
            <w:tcBorders>
              <w:tl2br w:val="nil"/>
              <w:tr2bl w:val="nil"/>
            </w:tcBorders>
          </w:tcPr>
          <w:p w14:paraId="2E6C968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撤销仲裁裁决由</w:t>
            </w:r>
            <w:r>
              <w:rPr>
                <w:rFonts w:hint="eastAsia" w:ascii="楷体" w:hAnsi="楷体" w:eastAsia="楷体" w:cs="楷体"/>
                <w:color w:val="FF0000"/>
                <w:vertAlign w:val="baseline"/>
                <w:lang w:val="en-US" w:eastAsia="zh-CN"/>
              </w:rPr>
              <w:t>仲裁委员会所在地中院</w:t>
            </w:r>
            <w:r>
              <w:rPr>
                <w:rFonts w:hint="eastAsia" w:ascii="楷体" w:hAnsi="楷体" w:eastAsia="楷体" w:cs="楷体"/>
                <w:vertAlign w:val="baseline"/>
                <w:lang w:val="en-US" w:eastAsia="zh-CN"/>
              </w:rPr>
              <w:t>管辖</w:t>
            </w:r>
          </w:p>
        </w:tc>
      </w:tr>
      <w:tr w14:paraId="227420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67F29DD6">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法定情形</w:t>
            </w:r>
          </w:p>
        </w:tc>
        <w:tc>
          <w:tcPr>
            <w:tcW w:w="4224" w:type="pct"/>
            <w:tcBorders>
              <w:tl2br w:val="nil"/>
              <w:tr2bl w:val="nil"/>
            </w:tcBorders>
          </w:tcPr>
          <w:p w14:paraId="7CCFEB5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1.没有仲裁协议的</w:t>
            </w:r>
          </w:p>
          <w:p w14:paraId="2DAD157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2.裁决的事项不属于仲裁协议的范围或者仲裁委员会无权仲裁的</w:t>
            </w:r>
          </w:p>
          <w:p w14:paraId="101D116C">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3.仲裁庭的组成或者仲裁的程序违反法定程序的</w:t>
            </w:r>
          </w:p>
          <w:p w14:paraId="161E4979">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4.裁决所依据的证据是伪造的</w:t>
            </w:r>
          </w:p>
          <w:p w14:paraId="14C166AE">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5.对方当事人隐瞒了足以影响公正裁决的证据的</w:t>
            </w:r>
          </w:p>
          <w:p w14:paraId="02F3B012">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6.仲裁员在仲裁该案时有索贿受贿，徇私舞弊，枉法裁决行为的</w:t>
            </w:r>
          </w:p>
        </w:tc>
      </w:tr>
      <w:tr w14:paraId="747EC8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0EF5EB0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审查</w:t>
            </w:r>
          </w:p>
        </w:tc>
        <w:tc>
          <w:tcPr>
            <w:tcW w:w="4224" w:type="pct"/>
            <w:tcBorders>
              <w:tl2br w:val="nil"/>
              <w:tr2bl w:val="nil"/>
            </w:tcBorders>
          </w:tcPr>
          <w:p w14:paraId="401DD18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法院应当在受理之日起</w:t>
            </w:r>
            <w:r>
              <w:rPr>
                <w:rFonts w:hint="eastAsia" w:ascii="楷体" w:hAnsi="楷体" w:eastAsia="楷体" w:cs="楷体"/>
                <w:color w:val="FF0000"/>
                <w:vertAlign w:val="baseline"/>
                <w:lang w:val="en-US" w:eastAsia="zh-CN"/>
              </w:rPr>
              <w:t>2个月内</w:t>
            </w:r>
            <w:r>
              <w:rPr>
                <w:rFonts w:hint="eastAsia" w:ascii="楷体" w:hAnsi="楷体" w:eastAsia="楷体" w:cs="楷体"/>
                <w:vertAlign w:val="baseline"/>
                <w:lang w:val="en-US" w:eastAsia="zh-CN"/>
              </w:rPr>
              <w:t>组成合议庭审查</w:t>
            </w:r>
          </w:p>
        </w:tc>
      </w:tr>
      <w:tr w14:paraId="181EE9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2E99DFD9">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处理</w:t>
            </w:r>
          </w:p>
        </w:tc>
        <w:tc>
          <w:tcPr>
            <w:tcW w:w="4224" w:type="pct"/>
            <w:tcBorders>
              <w:tl2br w:val="nil"/>
              <w:tr2bl w:val="nil"/>
            </w:tcBorders>
          </w:tcPr>
          <w:p w14:paraId="28F887C8">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w:t>
            </w:r>
            <w:r>
              <w:rPr>
                <w:rFonts w:hint="eastAsia" w:ascii="楷体" w:hAnsi="楷体" w:eastAsia="楷体" w:cs="楷体"/>
                <w:color w:val="FF0000"/>
                <w:vertAlign w:val="baseline"/>
                <w:lang w:val="en-US" w:eastAsia="zh-CN"/>
              </w:rPr>
              <w:t>驳回撤销仲裁裁决申请</w:t>
            </w:r>
            <w:r>
              <w:rPr>
                <w:rFonts w:hint="eastAsia" w:ascii="楷体" w:hAnsi="楷体" w:eastAsia="楷体" w:cs="楷体"/>
                <w:vertAlign w:val="baseline"/>
                <w:lang w:val="en-US" w:eastAsia="zh-CN"/>
              </w:rPr>
              <w:t>：没有发现撤销理由的，裁定驳回撤销仲裁裁决的申请，该裁定不能上诉，驳回后，原仲裁裁决具有执行力</w:t>
            </w:r>
          </w:p>
          <w:p w14:paraId="01671C14">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w:t>
            </w:r>
            <w:r>
              <w:rPr>
                <w:rFonts w:hint="eastAsia" w:ascii="楷体" w:hAnsi="楷体" w:eastAsia="楷体" w:cs="楷体"/>
                <w:color w:val="FF0000"/>
                <w:vertAlign w:val="baseline"/>
                <w:lang w:val="en-US" w:eastAsia="zh-CN"/>
              </w:rPr>
              <w:t>撤销仲裁裁决</w:t>
            </w:r>
            <w:r>
              <w:rPr>
                <w:rFonts w:hint="eastAsia" w:ascii="楷体" w:hAnsi="楷体" w:eastAsia="楷体" w:cs="楷体"/>
                <w:vertAlign w:val="baseline"/>
                <w:lang w:val="en-US" w:eastAsia="zh-CN"/>
              </w:rPr>
              <w:t>：发现法定撤销理由的，裁定撤销仲裁裁决，如果是属于超裁情形，且超裁部分与其他部分裁决可分的，可以撤销超裁部分裁决</w:t>
            </w:r>
          </w:p>
          <w:p w14:paraId="37A2C57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w:t>
            </w:r>
            <w:r>
              <w:rPr>
                <w:rFonts w:hint="eastAsia" w:ascii="楷体" w:hAnsi="楷体" w:eastAsia="楷体" w:cs="楷体"/>
                <w:color w:val="FF0000"/>
                <w:vertAlign w:val="baseline"/>
                <w:lang w:val="en-US" w:eastAsia="zh-CN"/>
              </w:rPr>
              <w:t>通知仲裁庭重新仲裁</w:t>
            </w:r>
            <w:r>
              <w:rPr>
                <w:rFonts w:hint="eastAsia" w:ascii="楷体" w:hAnsi="楷体" w:eastAsia="楷体" w:cs="楷体"/>
                <w:vertAlign w:val="baseline"/>
                <w:lang w:val="en-US" w:eastAsia="zh-CN"/>
              </w:rPr>
              <w:t>：如果发现情形（4）和（5）（裁决所依据的证据是伪造的或对方当事人隐瞒了足以影响公正裁决的证据）法院可以通知仲裁庭重新仲裁，同时中止撤销程序，在通知中说明要求重新仲裁的理由；由仲裁庭决定是否重新仲裁：仲裁庭重新仲裁的，法院裁定终结撤销程序，仲裁庭拒绝重新仲裁的，法院恢复撤销程序。仲裁庭重新仲裁的，不需要重新组成仲裁庭</w:t>
            </w:r>
          </w:p>
        </w:tc>
      </w:tr>
      <w:tr w14:paraId="457994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5" w:type="pct"/>
            <w:tcBorders>
              <w:tl2br w:val="nil"/>
              <w:tr2bl w:val="nil"/>
            </w:tcBorders>
            <w:vAlign w:val="center"/>
          </w:tcPr>
          <w:p w14:paraId="608E988D">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sz w:val="24"/>
                <w:szCs w:val="24"/>
                <w:lang w:val="en-US" w:eastAsia="zh-CN"/>
              </w:rPr>
              <w:t>后果</w:t>
            </w:r>
          </w:p>
        </w:tc>
        <w:tc>
          <w:tcPr>
            <w:tcW w:w="4224" w:type="pct"/>
            <w:tcBorders>
              <w:tl2br w:val="nil"/>
              <w:tr2bl w:val="nil"/>
            </w:tcBorders>
          </w:tcPr>
          <w:p w14:paraId="015785E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撤销仲裁裁决后，当事人可以重新达成仲裁协议仲裁，也可以向法院起诉</w:t>
            </w:r>
          </w:p>
        </w:tc>
      </w:tr>
    </w:tbl>
    <w:p w14:paraId="36895C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b/>
          <w:bCs/>
          <w:color w:val="00B0F0"/>
          <w:sz w:val="24"/>
          <w:szCs w:val="24"/>
          <w:lang w:val="en-US" w:eastAsia="zh-CN"/>
        </w:rPr>
      </w:pPr>
      <w:r>
        <w:rPr>
          <w:rFonts w:hint="eastAsia" w:ascii="楷体" w:hAnsi="楷体" w:eastAsia="楷体" w:cs="楷体"/>
          <w:b/>
          <w:bCs/>
          <w:color w:val="00B0F0"/>
          <w:sz w:val="24"/>
          <w:szCs w:val="24"/>
          <w:lang w:val="en-US" w:eastAsia="zh-CN"/>
        </w:rPr>
        <w:t>知识点55：仲裁裁决的不予执行</w:t>
      </w:r>
    </w:p>
    <w:tbl>
      <w:tblPr>
        <w:tblStyle w:val="1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75"/>
        <w:gridCol w:w="7247"/>
      </w:tblGrid>
      <w:tr w14:paraId="6893D8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tcBorders>
              <w:tl2br w:val="nil"/>
              <w:tr2bl w:val="nil"/>
            </w:tcBorders>
            <w:vAlign w:val="center"/>
          </w:tcPr>
          <w:p w14:paraId="1C50CBA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主体</w:t>
            </w:r>
          </w:p>
        </w:tc>
        <w:tc>
          <w:tcPr>
            <w:tcW w:w="4251" w:type="pct"/>
            <w:tcBorders>
              <w:tl2br w:val="nil"/>
              <w:tr2bl w:val="nil"/>
            </w:tcBorders>
          </w:tcPr>
          <w:p w14:paraId="5397D70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color w:val="FF0000"/>
                <w:vertAlign w:val="baseline"/>
                <w:lang w:val="en-US" w:eastAsia="zh-CN"/>
              </w:rPr>
              <w:t>被执行人、案外人</w:t>
            </w:r>
          </w:p>
        </w:tc>
      </w:tr>
      <w:tr w14:paraId="2CD07B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65" w:hRule="atLeast"/>
        </w:trPr>
        <w:tc>
          <w:tcPr>
            <w:tcW w:w="748" w:type="pct"/>
            <w:tcBorders>
              <w:tl2br w:val="nil"/>
              <w:tr2bl w:val="nil"/>
            </w:tcBorders>
            <w:vAlign w:val="center"/>
          </w:tcPr>
          <w:p w14:paraId="5A09C4F5">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管辖</w:t>
            </w:r>
          </w:p>
        </w:tc>
        <w:tc>
          <w:tcPr>
            <w:tcW w:w="4251" w:type="pct"/>
            <w:tcBorders>
              <w:tl2br w:val="nil"/>
              <w:tr2bl w:val="nil"/>
            </w:tcBorders>
          </w:tcPr>
          <w:p w14:paraId="6ABDD22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被执行人住所地或者被执行的财产所在地的中级法院管辖；执行标的额符合基层法院级别管辖标准的，中院可以报上一级法院批准后</w:t>
            </w:r>
            <w:r>
              <w:rPr>
                <w:rFonts w:hint="eastAsia" w:ascii="楷体" w:hAnsi="楷体" w:eastAsia="楷体" w:cs="楷体"/>
                <w:color w:val="FF0000"/>
                <w:vertAlign w:val="baseline"/>
                <w:lang w:val="en-US" w:eastAsia="zh-CN"/>
              </w:rPr>
              <w:t>指定被执行人住所地或者被执行财产所在地基层法院执行</w:t>
            </w:r>
            <w:r>
              <w:rPr>
                <w:rFonts w:hint="eastAsia" w:ascii="楷体" w:hAnsi="楷体" w:eastAsia="楷体" w:cs="楷体"/>
                <w:vertAlign w:val="baseline"/>
                <w:lang w:val="en-US" w:eastAsia="zh-CN"/>
              </w:rPr>
              <w:t>。但被执行人、案外人申请不予执行的，应当</w:t>
            </w:r>
            <w:r>
              <w:rPr>
                <w:rFonts w:hint="eastAsia" w:ascii="楷体" w:hAnsi="楷体" w:eastAsia="楷体" w:cs="楷体"/>
                <w:color w:val="FF0000"/>
                <w:vertAlign w:val="baseline"/>
                <w:lang w:val="en-US" w:eastAsia="zh-CN"/>
              </w:rPr>
              <w:t>由负责执行的中院另案审查处理</w:t>
            </w:r>
          </w:p>
        </w:tc>
      </w:tr>
      <w:tr w14:paraId="64782A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tcBorders>
              <w:tl2br w:val="nil"/>
              <w:tr2bl w:val="nil"/>
            </w:tcBorders>
            <w:vAlign w:val="center"/>
          </w:tcPr>
          <w:p w14:paraId="2410CF84">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法定情形</w:t>
            </w:r>
          </w:p>
        </w:tc>
        <w:tc>
          <w:tcPr>
            <w:tcW w:w="4251" w:type="pct"/>
            <w:tcBorders>
              <w:tl2br w:val="nil"/>
              <w:tr2bl w:val="nil"/>
            </w:tcBorders>
          </w:tcPr>
          <w:p w14:paraId="7617B9DF">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1.当事人在合同中没有仲裁条款或事后没有达成书面仲裁协议的</w:t>
            </w:r>
          </w:p>
          <w:p w14:paraId="463CFF33">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2.裁决的事项不属于仲裁协议的范围或者仲裁机构无权仲裁的</w:t>
            </w:r>
          </w:p>
          <w:p w14:paraId="7625481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3.仲裁庭的组成或者仲裁的程序违反法定程序的</w:t>
            </w:r>
          </w:p>
          <w:p w14:paraId="703F5EE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4.仲裁裁决所依据的证据是伪造的</w:t>
            </w:r>
          </w:p>
          <w:p w14:paraId="15CA136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5.对方当事人隐瞒了足以影响公正裁决的证据的</w:t>
            </w:r>
          </w:p>
          <w:p w14:paraId="3F9075AD">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6.仲裁员在仲裁该案时有贪污受贿、徇私舞弊、枉法裁决行为的</w:t>
            </w:r>
          </w:p>
          <w:p w14:paraId="2C802F9B">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7.仲裁裁决违背了社会公共利益</w:t>
            </w:r>
          </w:p>
        </w:tc>
      </w:tr>
      <w:tr w14:paraId="5DE44C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680" w:hRule="atLeast"/>
        </w:trPr>
        <w:tc>
          <w:tcPr>
            <w:tcW w:w="748" w:type="pct"/>
            <w:tcBorders>
              <w:tl2br w:val="nil"/>
              <w:tr2bl w:val="nil"/>
            </w:tcBorders>
            <w:vAlign w:val="center"/>
          </w:tcPr>
          <w:p w14:paraId="27A4D633">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不予支持</w:t>
            </w:r>
          </w:p>
        </w:tc>
        <w:tc>
          <w:tcPr>
            <w:tcW w:w="4251" w:type="pct"/>
            <w:tcBorders>
              <w:tl2br w:val="nil"/>
              <w:tr2bl w:val="nil"/>
            </w:tcBorders>
          </w:tcPr>
          <w:p w14:paraId="6592E2F0">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下列情形，当事人申请不予执行仲裁裁决书的，法院不予支持：</w:t>
            </w:r>
          </w:p>
          <w:p w14:paraId="4F15AC67">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1.当事人请求不予执行</w:t>
            </w:r>
            <w:r>
              <w:rPr>
                <w:rFonts w:hint="eastAsia" w:ascii="楷体" w:hAnsi="楷体" w:eastAsia="楷体" w:cs="楷体"/>
                <w:color w:val="FF0000"/>
                <w:vertAlign w:val="baseline"/>
                <w:lang w:val="en-US" w:eastAsia="zh-CN"/>
              </w:rPr>
              <w:t>仲裁调解书</w:t>
            </w:r>
            <w:r>
              <w:rPr>
                <w:rFonts w:hint="eastAsia" w:ascii="楷体" w:hAnsi="楷体" w:eastAsia="楷体" w:cs="楷体"/>
                <w:vertAlign w:val="baseline"/>
                <w:lang w:val="en-US" w:eastAsia="zh-CN"/>
              </w:rPr>
              <w:t>或者</w:t>
            </w:r>
            <w:r>
              <w:rPr>
                <w:rFonts w:hint="eastAsia" w:ascii="楷体" w:hAnsi="楷体" w:eastAsia="楷体" w:cs="楷体"/>
                <w:color w:val="FF0000"/>
                <w:vertAlign w:val="baseline"/>
                <w:lang w:val="en-US" w:eastAsia="zh-CN"/>
              </w:rPr>
              <w:t>根据和解协议作出的仲裁裁决书</w:t>
            </w:r>
            <w:r>
              <w:rPr>
                <w:rFonts w:hint="eastAsia" w:ascii="楷体" w:hAnsi="楷体" w:eastAsia="楷体" w:cs="楷体"/>
                <w:vertAlign w:val="baseline"/>
                <w:lang w:val="en-US" w:eastAsia="zh-CN"/>
              </w:rPr>
              <w:t>的，法院不予支持</w:t>
            </w:r>
          </w:p>
          <w:p w14:paraId="69710D35">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2.当事人在仲裁程序中</w:t>
            </w:r>
            <w:r>
              <w:rPr>
                <w:rFonts w:hint="eastAsia" w:ascii="楷体" w:hAnsi="楷体" w:eastAsia="楷体" w:cs="楷体"/>
                <w:color w:val="FF0000"/>
                <w:vertAlign w:val="baseline"/>
                <w:lang w:val="en-US" w:eastAsia="zh-CN"/>
              </w:rPr>
              <w:t>未对仲裁协议的效力提出异议</w:t>
            </w:r>
            <w:r>
              <w:rPr>
                <w:rFonts w:hint="eastAsia" w:ascii="楷体" w:hAnsi="楷体" w:eastAsia="楷体" w:cs="楷体"/>
                <w:vertAlign w:val="baseline"/>
                <w:lang w:val="en-US" w:eastAsia="zh-CN"/>
              </w:rPr>
              <w:t>，在仲裁裁决作出后以仲裁协议无效为由主张撤销仲裁裁决或者提出不予执行抗辩的，法院不予支持</w:t>
            </w:r>
          </w:p>
          <w:p w14:paraId="70DB39A1">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3.当事人申请撤销仲裁裁决被驳回后，</w:t>
            </w:r>
            <w:r>
              <w:rPr>
                <w:rFonts w:hint="eastAsia" w:ascii="楷体" w:hAnsi="楷体" w:eastAsia="楷体" w:cs="楷体"/>
                <w:color w:val="FF0000"/>
                <w:vertAlign w:val="baseline"/>
                <w:lang w:val="en-US" w:eastAsia="zh-CN"/>
              </w:rPr>
              <w:t>又以相同理由提出不予执行</w:t>
            </w:r>
            <w:r>
              <w:rPr>
                <w:rFonts w:hint="eastAsia" w:ascii="楷体" w:hAnsi="楷体" w:eastAsia="楷体" w:cs="楷体"/>
                <w:vertAlign w:val="baseline"/>
                <w:lang w:val="en-US" w:eastAsia="zh-CN"/>
              </w:rPr>
              <w:t>的，法院不予支持</w:t>
            </w:r>
          </w:p>
        </w:tc>
      </w:tr>
      <w:tr w14:paraId="1AD4B6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48" w:type="pct"/>
            <w:tcBorders>
              <w:tl2br w:val="nil"/>
              <w:tr2bl w:val="nil"/>
            </w:tcBorders>
            <w:vAlign w:val="center"/>
          </w:tcPr>
          <w:p w14:paraId="7012DA1C">
            <w:pPr>
              <w:keepNext w:val="0"/>
              <w:keepLines w:val="0"/>
              <w:pageBreakBefore w:val="0"/>
              <w:widowControl w:val="0"/>
              <w:kinsoku/>
              <w:wordWrap/>
              <w:overflowPunct/>
              <w:topLinePunct w:val="0"/>
              <w:autoSpaceDE/>
              <w:autoSpaceDN/>
              <w:bidi w:val="0"/>
              <w:adjustRightInd/>
              <w:snapToGrid/>
              <w:spacing w:line="380" w:lineRule="exact"/>
              <w:jc w:val="center"/>
              <w:textAlignment w:val="auto"/>
              <w:rPr>
                <w:rFonts w:hint="eastAsia" w:ascii="楷体" w:hAnsi="楷体" w:eastAsia="楷体" w:cs="楷体"/>
                <w:b/>
                <w:bCs/>
                <w:color w:val="E56437"/>
                <w:sz w:val="24"/>
                <w:szCs w:val="24"/>
                <w:lang w:val="en-US" w:eastAsia="zh-CN"/>
              </w:rPr>
            </w:pPr>
            <w:r>
              <w:rPr>
                <w:rFonts w:hint="eastAsia" w:ascii="楷体" w:hAnsi="楷体" w:eastAsia="楷体" w:cs="楷体"/>
                <w:b/>
                <w:bCs/>
                <w:color w:val="E56437"/>
                <w:sz w:val="24"/>
                <w:szCs w:val="24"/>
                <w:lang w:val="en-US" w:eastAsia="zh-CN"/>
              </w:rPr>
              <w:t>救济</w:t>
            </w:r>
          </w:p>
        </w:tc>
        <w:tc>
          <w:tcPr>
            <w:tcW w:w="4251" w:type="pct"/>
            <w:tcBorders>
              <w:tl2br w:val="nil"/>
              <w:tr2bl w:val="nil"/>
            </w:tcBorders>
          </w:tcPr>
          <w:p w14:paraId="6CA16356">
            <w:pPr>
              <w:keepNext w:val="0"/>
              <w:keepLines w:val="0"/>
              <w:pageBreakBefore w:val="0"/>
              <w:widowControl w:val="0"/>
              <w:kinsoku/>
              <w:wordWrap/>
              <w:overflowPunct/>
              <w:topLinePunct w:val="0"/>
              <w:autoSpaceDE/>
              <w:autoSpaceDN/>
              <w:bidi w:val="0"/>
              <w:adjustRightInd/>
              <w:snapToGrid/>
              <w:spacing w:line="380" w:lineRule="exact"/>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仲裁裁决被不予执行后，可以</w:t>
            </w:r>
            <w:r>
              <w:rPr>
                <w:rFonts w:hint="eastAsia" w:ascii="楷体" w:hAnsi="楷体" w:eastAsia="楷体" w:cs="楷体"/>
                <w:color w:val="FF0000"/>
                <w:vertAlign w:val="baseline"/>
                <w:lang w:val="en-US" w:eastAsia="zh-CN"/>
              </w:rPr>
              <w:t>起诉</w:t>
            </w:r>
            <w:r>
              <w:rPr>
                <w:rFonts w:hint="eastAsia" w:ascii="楷体" w:hAnsi="楷体" w:eastAsia="楷体" w:cs="楷体"/>
                <w:vertAlign w:val="baseline"/>
                <w:lang w:val="en-US" w:eastAsia="zh-CN"/>
              </w:rPr>
              <w:t>或者</w:t>
            </w:r>
            <w:r>
              <w:rPr>
                <w:rFonts w:hint="eastAsia" w:ascii="楷体" w:hAnsi="楷体" w:eastAsia="楷体" w:cs="楷体"/>
                <w:color w:val="FF0000"/>
                <w:vertAlign w:val="baseline"/>
                <w:lang w:val="en-US" w:eastAsia="zh-CN"/>
              </w:rPr>
              <w:t>重新达成仲裁协议</w:t>
            </w:r>
            <w:r>
              <w:rPr>
                <w:rFonts w:hint="eastAsia" w:ascii="楷体" w:hAnsi="楷体" w:eastAsia="楷体" w:cs="楷体"/>
                <w:vertAlign w:val="baseline"/>
                <w:lang w:val="en-US" w:eastAsia="zh-CN"/>
              </w:rPr>
              <w:t>申请仲裁</w:t>
            </w:r>
          </w:p>
        </w:tc>
      </w:tr>
    </w:tbl>
    <w:p w14:paraId="7AFB4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lang w:val="en-US" w:eastAsia="zh-CN"/>
        </w:rPr>
      </w:pP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汉仪粗黑简">
    <w:altName w:val="黑体"/>
    <w:panose1 w:val="02010600000101010101"/>
    <w:charset w:val="86"/>
    <w:family w:val="auto"/>
    <w:pitch w:val="default"/>
    <w:sig w:usb0="00000000" w:usb1="000000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D419">
    <w:pPr>
      <w:spacing w:line="168" w:lineRule="auto"/>
      <w:ind w:left="0" w:leftChars="0" w:firstLine="0" w:firstLineChars="0"/>
      <w:rPr>
        <w:rFonts w:ascii="Calibri" w:hAnsi="Calibri" w:eastAsia="Calibri" w:cs="Calibri"/>
        <w:sz w:val="18"/>
        <w:szCs w:val="18"/>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47DE3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547DE33">
                    <w:pPr>
                      <w:pStyle w:val="7"/>
                    </w:pPr>
                    <w:r>
                      <w:fldChar w:fldCharType="begin"/>
                    </w:r>
                    <w:r>
                      <w:instrText xml:space="preserve"> PAGE  \* MERGEFORMAT </w:instrText>
                    </w:r>
                    <w:r>
                      <w:fldChar w:fldCharType="separate"/>
                    </w:r>
                    <w:r>
                      <w:t>1</w:t>
                    </w:r>
                    <w:r>
                      <w:fldChar w:fldCharType="end"/>
                    </w:r>
                  </w:p>
                </w:txbxContent>
              </v:textbox>
            </v:shape>
          </w:pict>
        </mc:Fallback>
      </mc:AlternateContent>
    </w:r>
    <w:r>
      <w:drawing>
        <wp:anchor distT="0" distB="0" distL="114300" distR="114300" simplePos="0" relativeHeight="251660288" behindDoc="1" locked="0" layoutInCell="1" allowOverlap="1">
          <wp:simplePos x="0" y="0"/>
          <wp:positionH relativeFrom="column">
            <wp:posOffset>1543050</wp:posOffset>
          </wp:positionH>
          <wp:positionV relativeFrom="paragraph">
            <wp:posOffset>-3023235</wp:posOffset>
          </wp:positionV>
          <wp:extent cx="5273675" cy="3759835"/>
          <wp:effectExtent l="0" t="0" r="3175" b="12065"/>
          <wp:wrapNone/>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
                  <a:stretch>
                    <a:fillRect/>
                  </a:stretch>
                </pic:blipFill>
                <pic:spPr>
                  <a:xfrm>
                    <a:off x="0" y="0"/>
                    <a:ext cx="5273675" cy="3759835"/>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34CEA">
    <w:pPr>
      <w:spacing w:line="168" w:lineRule="auto"/>
      <w:ind w:left="0" w:leftChars="0" w:firstLine="0" w:firstLineChars="0"/>
      <w:rPr>
        <w:rFonts w:ascii="Calibri" w:hAnsi="Calibri" w:eastAsia="Calibri" w:cs="Calibri"/>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EA275">
    <w:pPr>
      <w:spacing w:line="168" w:lineRule="auto"/>
      <w:ind w:left="0" w:leftChars="0" w:firstLine="0" w:firstLineChars="0"/>
      <w:rPr>
        <w:rFonts w:ascii="Calibri" w:hAnsi="Calibri" w:eastAsia="Calibri" w:cs="Calibri"/>
        <w:sz w:val="18"/>
        <w:szCs w:val="18"/>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2265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FE2265E">
                    <w:pPr>
                      <w:pStyle w:val="7"/>
                    </w:pPr>
                    <w:r>
                      <w:fldChar w:fldCharType="begin"/>
                    </w:r>
                    <w:r>
                      <w:instrText xml:space="preserve"> PAGE  \* MERGEFORMAT </w:instrText>
                    </w:r>
                    <w:r>
                      <w:fldChar w:fldCharType="separate"/>
                    </w:r>
                    <w:r>
                      <w:t>1</w:t>
                    </w:r>
                    <w:r>
                      <w:fldChar w:fldCharType="end"/>
                    </w:r>
                  </w:p>
                </w:txbxContent>
              </v:textbox>
            </v:shape>
          </w:pict>
        </mc:Fallback>
      </mc:AlternateContent>
    </w:r>
    <w:r>
      <w:drawing>
        <wp:anchor distT="0" distB="0" distL="114300" distR="114300" simplePos="0" relativeHeight="251662336" behindDoc="1" locked="0" layoutInCell="1" allowOverlap="1">
          <wp:simplePos x="0" y="0"/>
          <wp:positionH relativeFrom="column">
            <wp:posOffset>1543050</wp:posOffset>
          </wp:positionH>
          <wp:positionV relativeFrom="paragraph">
            <wp:posOffset>-3023235</wp:posOffset>
          </wp:positionV>
          <wp:extent cx="5273675" cy="3759835"/>
          <wp:effectExtent l="0" t="0" r="3175" b="12065"/>
          <wp:wrapNone/>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
                  <a:stretch>
                    <a:fillRect/>
                  </a:stretch>
                </pic:blipFill>
                <pic:spPr>
                  <a:xfrm>
                    <a:off x="0" y="0"/>
                    <a:ext cx="5273675" cy="375983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A0B935">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VhOGVkOTIwY2RhZGZkZWM4ZjA0NmE1NzlmMzhkZmIifQ=="/>
  </w:docVars>
  <w:rsids>
    <w:rsidRoot w:val="00000000"/>
    <w:rsid w:val="00307A95"/>
    <w:rsid w:val="00796E84"/>
    <w:rsid w:val="009444C8"/>
    <w:rsid w:val="00B813A2"/>
    <w:rsid w:val="00DC66AA"/>
    <w:rsid w:val="00F12720"/>
    <w:rsid w:val="01203FAE"/>
    <w:rsid w:val="015B4A06"/>
    <w:rsid w:val="01F1594A"/>
    <w:rsid w:val="02854BFF"/>
    <w:rsid w:val="02AB3C57"/>
    <w:rsid w:val="03035935"/>
    <w:rsid w:val="03113803"/>
    <w:rsid w:val="03195244"/>
    <w:rsid w:val="033755DF"/>
    <w:rsid w:val="038F1310"/>
    <w:rsid w:val="03AB4931"/>
    <w:rsid w:val="03EE2141"/>
    <w:rsid w:val="045A17EA"/>
    <w:rsid w:val="04CC6E1C"/>
    <w:rsid w:val="04D94B9F"/>
    <w:rsid w:val="051E55C3"/>
    <w:rsid w:val="052D2B52"/>
    <w:rsid w:val="05664954"/>
    <w:rsid w:val="059602D6"/>
    <w:rsid w:val="059F1213"/>
    <w:rsid w:val="077741FC"/>
    <w:rsid w:val="08E10C23"/>
    <w:rsid w:val="098446FA"/>
    <w:rsid w:val="0A2148F3"/>
    <w:rsid w:val="0A5B3D3C"/>
    <w:rsid w:val="0A886720"/>
    <w:rsid w:val="0A905466"/>
    <w:rsid w:val="0AAD7275"/>
    <w:rsid w:val="0B1A381C"/>
    <w:rsid w:val="0B5E576F"/>
    <w:rsid w:val="0B82242C"/>
    <w:rsid w:val="0D5749B7"/>
    <w:rsid w:val="0D6B6E48"/>
    <w:rsid w:val="0DDE2C70"/>
    <w:rsid w:val="0DF1620C"/>
    <w:rsid w:val="0E023594"/>
    <w:rsid w:val="0E9C0543"/>
    <w:rsid w:val="0EF10D38"/>
    <w:rsid w:val="0F475993"/>
    <w:rsid w:val="0F562519"/>
    <w:rsid w:val="10022AD1"/>
    <w:rsid w:val="10263240"/>
    <w:rsid w:val="10743569"/>
    <w:rsid w:val="10AF735F"/>
    <w:rsid w:val="11173EAD"/>
    <w:rsid w:val="11245456"/>
    <w:rsid w:val="11776A7F"/>
    <w:rsid w:val="12581D72"/>
    <w:rsid w:val="128227EB"/>
    <w:rsid w:val="12DB14C9"/>
    <w:rsid w:val="12F3704A"/>
    <w:rsid w:val="132950ED"/>
    <w:rsid w:val="13DD7E6B"/>
    <w:rsid w:val="13FC49FC"/>
    <w:rsid w:val="15420113"/>
    <w:rsid w:val="15CA5E3E"/>
    <w:rsid w:val="16283862"/>
    <w:rsid w:val="16503A7A"/>
    <w:rsid w:val="16ED52DA"/>
    <w:rsid w:val="17163A7D"/>
    <w:rsid w:val="172979D8"/>
    <w:rsid w:val="176A5B2B"/>
    <w:rsid w:val="176D73C9"/>
    <w:rsid w:val="178E6A97"/>
    <w:rsid w:val="19925906"/>
    <w:rsid w:val="1AF44089"/>
    <w:rsid w:val="1B0E2C5E"/>
    <w:rsid w:val="1B1359D8"/>
    <w:rsid w:val="1B5D452F"/>
    <w:rsid w:val="1B7F3DF9"/>
    <w:rsid w:val="1C4B3CC6"/>
    <w:rsid w:val="1D632E00"/>
    <w:rsid w:val="1D79430D"/>
    <w:rsid w:val="1DA20C31"/>
    <w:rsid w:val="1DFE6FCD"/>
    <w:rsid w:val="1EAE2EE8"/>
    <w:rsid w:val="1ED86DE9"/>
    <w:rsid w:val="1F7171A3"/>
    <w:rsid w:val="20517888"/>
    <w:rsid w:val="206770AC"/>
    <w:rsid w:val="206A26F8"/>
    <w:rsid w:val="207E78EB"/>
    <w:rsid w:val="20CF4C51"/>
    <w:rsid w:val="21DD683B"/>
    <w:rsid w:val="21F039A6"/>
    <w:rsid w:val="2294222A"/>
    <w:rsid w:val="22F936FC"/>
    <w:rsid w:val="230451FD"/>
    <w:rsid w:val="23BF0B8B"/>
    <w:rsid w:val="24877D1C"/>
    <w:rsid w:val="248C3D23"/>
    <w:rsid w:val="24B80DEE"/>
    <w:rsid w:val="24D42836"/>
    <w:rsid w:val="24F0793C"/>
    <w:rsid w:val="25D15171"/>
    <w:rsid w:val="26472DAE"/>
    <w:rsid w:val="2704586A"/>
    <w:rsid w:val="2724781E"/>
    <w:rsid w:val="27BB18FB"/>
    <w:rsid w:val="27C46128"/>
    <w:rsid w:val="292956DF"/>
    <w:rsid w:val="295E3016"/>
    <w:rsid w:val="29630F2D"/>
    <w:rsid w:val="2A781F98"/>
    <w:rsid w:val="2AD510B6"/>
    <w:rsid w:val="2B1E0CAF"/>
    <w:rsid w:val="2C541219"/>
    <w:rsid w:val="2CBA4A07"/>
    <w:rsid w:val="2CDB3B57"/>
    <w:rsid w:val="2D0D2D89"/>
    <w:rsid w:val="2DAC38C9"/>
    <w:rsid w:val="2DCE0B9C"/>
    <w:rsid w:val="2E4B3EBB"/>
    <w:rsid w:val="2EB21E3A"/>
    <w:rsid w:val="2EBC6626"/>
    <w:rsid w:val="2EF43B15"/>
    <w:rsid w:val="2F957351"/>
    <w:rsid w:val="30640F12"/>
    <w:rsid w:val="309F63EE"/>
    <w:rsid w:val="311A154E"/>
    <w:rsid w:val="315563B2"/>
    <w:rsid w:val="329543F6"/>
    <w:rsid w:val="329576B7"/>
    <w:rsid w:val="33BA709B"/>
    <w:rsid w:val="34831B82"/>
    <w:rsid w:val="34EA39B0"/>
    <w:rsid w:val="351567A2"/>
    <w:rsid w:val="35B9585C"/>
    <w:rsid w:val="361C3CFF"/>
    <w:rsid w:val="3627310D"/>
    <w:rsid w:val="36D6068F"/>
    <w:rsid w:val="37D3566F"/>
    <w:rsid w:val="3893537C"/>
    <w:rsid w:val="38AC5B60"/>
    <w:rsid w:val="3B590554"/>
    <w:rsid w:val="3B6C511E"/>
    <w:rsid w:val="3BEB5A68"/>
    <w:rsid w:val="3C7921E9"/>
    <w:rsid w:val="3C8A52C7"/>
    <w:rsid w:val="3CAB7EC8"/>
    <w:rsid w:val="3D284375"/>
    <w:rsid w:val="3D37175C"/>
    <w:rsid w:val="3DDE237F"/>
    <w:rsid w:val="3E026268"/>
    <w:rsid w:val="3E30603B"/>
    <w:rsid w:val="3E892F18"/>
    <w:rsid w:val="3EE1484F"/>
    <w:rsid w:val="3F6E3B5B"/>
    <w:rsid w:val="3F7E6EC2"/>
    <w:rsid w:val="3FFF0C57"/>
    <w:rsid w:val="407F0CB2"/>
    <w:rsid w:val="415C5608"/>
    <w:rsid w:val="418E1DDB"/>
    <w:rsid w:val="4274710D"/>
    <w:rsid w:val="42B576FA"/>
    <w:rsid w:val="42E934F8"/>
    <w:rsid w:val="42EC04A3"/>
    <w:rsid w:val="4329746D"/>
    <w:rsid w:val="434D3A87"/>
    <w:rsid w:val="43644AEF"/>
    <w:rsid w:val="4372353B"/>
    <w:rsid w:val="43863E28"/>
    <w:rsid w:val="444E3841"/>
    <w:rsid w:val="44E81CBA"/>
    <w:rsid w:val="44EA5D69"/>
    <w:rsid w:val="451253EA"/>
    <w:rsid w:val="45BA7996"/>
    <w:rsid w:val="45D67D64"/>
    <w:rsid w:val="46F81F5C"/>
    <w:rsid w:val="47B94967"/>
    <w:rsid w:val="47BE31A6"/>
    <w:rsid w:val="48580F04"/>
    <w:rsid w:val="48DF7669"/>
    <w:rsid w:val="492C16AC"/>
    <w:rsid w:val="497D0540"/>
    <w:rsid w:val="498D1081"/>
    <w:rsid w:val="498D3BDC"/>
    <w:rsid w:val="4A6F5702"/>
    <w:rsid w:val="4A7A7858"/>
    <w:rsid w:val="4B5A7CCA"/>
    <w:rsid w:val="4C1C63A0"/>
    <w:rsid w:val="4CB77D51"/>
    <w:rsid w:val="4CD80866"/>
    <w:rsid w:val="4DC06C27"/>
    <w:rsid w:val="4E1B7D06"/>
    <w:rsid w:val="4E401E9C"/>
    <w:rsid w:val="4E8753F1"/>
    <w:rsid w:val="4E900096"/>
    <w:rsid w:val="4EC2357B"/>
    <w:rsid w:val="4ED50D55"/>
    <w:rsid w:val="50BA37C3"/>
    <w:rsid w:val="511E4CB5"/>
    <w:rsid w:val="51FF42A8"/>
    <w:rsid w:val="52556BEC"/>
    <w:rsid w:val="52911010"/>
    <w:rsid w:val="52B315EF"/>
    <w:rsid w:val="52E33C7F"/>
    <w:rsid w:val="553D3D10"/>
    <w:rsid w:val="555925CB"/>
    <w:rsid w:val="560E70A6"/>
    <w:rsid w:val="56440D9A"/>
    <w:rsid w:val="56A31EE4"/>
    <w:rsid w:val="56CE007F"/>
    <w:rsid w:val="56F6372F"/>
    <w:rsid w:val="57CC546B"/>
    <w:rsid w:val="588751FD"/>
    <w:rsid w:val="59AC7302"/>
    <w:rsid w:val="59D75C0E"/>
    <w:rsid w:val="5A1106FB"/>
    <w:rsid w:val="5A28697C"/>
    <w:rsid w:val="5AD85ED5"/>
    <w:rsid w:val="5AF70A51"/>
    <w:rsid w:val="5B0132E0"/>
    <w:rsid w:val="5BCF1957"/>
    <w:rsid w:val="5BD364E5"/>
    <w:rsid w:val="5C8F41FB"/>
    <w:rsid w:val="5C9E3B0B"/>
    <w:rsid w:val="5CBF2EFF"/>
    <w:rsid w:val="5CC15BA8"/>
    <w:rsid w:val="5D0A5B8C"/>
    <w:rsid w:val="5D665A62"/>
    <w:rsid w:val="5DA23810"/>
    <w:rsid w:val="5DBB3FB7"/>
    <w:rsid w:val="5EED2869"/>
    <w:rsid w:val="5F2D6614"/>
    <w:rsid w:val="5FAA42E4"/>
    <w:rsid w:val="5FAF21C4"/>
    <w:rsid w:val="5FB47C96"/>
    <w:rsid w:val="615E4ECE"/>
    <w:rsid w:val="618D25F2"/>
    <w:rsid w:val="61D27EB7"/>
    <w:rsid w:val="62353C0D"/>
    <w:rsid w:val="62BC4273"/>
    <w:rsid w:val="653E102A"/>
    <w:rsid w:val="663C49B2"/>
    <w:rsid w:val="66B9509F"/>
    <w:rsid w:val="66BB5028"/>
    <w:rsid w:val="672E36D8"/>
    <w:rsid w:val="682602A8"/>
    <w:rsid w:val="68922C98"/>
    <w:rsid w:val="689463E2"/>
    <w:rsid w:val="69E019E0"/>
    <w:rsid w:val="6A2829D5"/>
    <w:rsid w:val="6A6F7778"/>
    <w:rsid w:val="6A9040D6"/>
    <w:rsid w:val="6AA54025"/>
    <w:rsid w:val="6B855C05"/>
    <w:rsid w:val="6BF95CAB"/>
    <w:rsid w:val="6C0A000F"/>
    <w:rsid w:val="6D18386D"/>
    <w:rsid w:val="6D583D60"/>
    <w:rsid w:val="6D5E0469"/>
    <w:rsid w:val="6E794F16"/>
    <w:rsid w:val="6E9B4A8E"/>
    <w:rsid w:val="6ECD6455"/>
    <w:rsid w:val="6F1843FB"/>
    <w:rsid w:val="6F846563"/>
    <w:rsid w:val="6FF479A3"/>
    <w:rsid w:val="704806FC"/>
    <w:rsid w:val="704C4F43"/>
    <w:rsid w:val="70B56644"/>
    <w:rsid w:val="71237A52"/>
    <w:rsid w:val="7150018A"/>
    <w:rsid w:val="71F238C8"/>
    <w:rsid w:val="72C02F0B"/>
    <w:rsid w:val="73E71C5A"/>
    <w:rsid w:val="747166F2"/>
    <w:rsid w:val="754E2CDA"/>
    <w:rsid w:val="75613CFA"/>
    <w:rsid w:val="757245D2"/>
    <w:rsid w:val="7664142C"/>
    <w:rsid w:val="76A05788"/>
    <w:rsid w:val="76D35AD1"/>
    <w:rsid w:val="770B3462"/>
    <w:rsid w:val="77F93618"/>
    <w:rsid w:val="783B10D3"/>
    <w:rsid w:val="784B5694"/>
    <w:rsid w:val="78D514B3"/>
    <w:rsid w:val="7A064A76"/>
    <w:rsid w:val="7A0D5743"/>
    <w:rsid w:val="7AFB2C7A"/>
    <w:rsid w:val="7B914268"/>
    <w:rsid w:val="7BA854F3"/>
    <w:rsid w:val="7C292C15"/>
    <w:rsid w:val="7D0E2473"/>
    <w:rsid w:val="7D11008D"/>
    <w:rsid w:val="7D2E7EAA"/>
    <w:rsid w:val="7D627B54"/>
    <w:rsid w:val="7D8F6274"/>
    <w:rsid w:val="7E5B5D81"/>
    <w:rsid w:val="7FD80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480" w:lineRule="auto"/>
      <w:jc w:val="center"/>
      <w:outlineLvl w:val="0"/>
    </w:pPr>
    <w:rPr>
      <w:rFonts w:eastAsia="宋体" w:asciiTheme="minorAscii" w:hAnsiTheme="minorAscii"/>
      <w:kern w:val="44"/>
      <w:sz w:val="44"/>
    </w:rPr>
  </w:style>
  <w:style w:type="paragraph" w:styleId="3">
    <w:name w:val="heading 2"/>
    <w:basedOn w:val="1"/>
    <w:next w:val="1"/>
    <w:unhideWhenUsed/>
    <w:qFormat/>
    <w:uiPriority w:val="0"/>
    <w:pPr>
      <w:keepNext/>
      <w:keepLines/>
      <w:spacing w:before="140" w:beforeLines="0" w:beforeAutospacing="0" w:after="140" w:afterLines="0" w:afterAutospacing="0" w:line="480" w:lineRule="auto"/>
      <w:jc w:val="center"/>
      <w:outlineLvl w:val="1"/>
    </w:pPr>
    <w:rPr>
      <w:rFonts w:ascii="Arial" w:hAnsi="Arial" w:eastAsia="宋体"/>
      <w:sz w:val="32"/>
    </w:rPr>
  </w:style>
  <w:style w:type="paragraph" w:styleId="4">
    <w:name w:val="heading 3"/>
    <w:basedOn w:val="1"/>
    <w:next w:val="1"/>
    <w:unhideWhenUsed/>
    <w:qFormat/>
    <w:uiPriority w:val="0"/>
    <w:pPr>
      <w:keepNext/>
      <w:keepLines/>
      <w:spacing w:before="100" w:beforeLines="0" w:beforeAutospacing="0" w:after="100" w:afterLines="0" w:afterAutospacing="0" w:line="480" w:lineRule="auto"/>
      <w:jc w:val="center"/>
      <w:outlineLvl w:val="2"/>
    </w:pPr>
    <w:rPr>
      <w:rFonts w:eastAsia="宋体" w:asciiTheme="minorAscii" w:hAnsiTheme="minorAscii"/>
      <w:sz w:val="28"/>
    </w:rPr>
  </w:style>
  <w:style w:type="paragraph" w:styleId="5">
    <w:name w:val="heading 4"/>
    <w:basedOn w:val="1"/>
    <w:next w:val="1"/>
    <w:unhideWhenUsed/>
    <w:qFormat/>
    <w:uiPriority w:val="0"/>
    <w:pPr>
      <w:keepNext/>
      <w:keepLines/>
      <w:spacing w:before="50" w:beforeLines="50" w:beforeAutospacing="0" w:after="290" w:afterLines="0" w:afterAutospacing="0" w:line="360" w:lineRule="exact"/>
      <w:outlineLvl w:val="3"/>
    </w:pPr>
    <w:rPr>
      <w:rFonts w:ascii="Arial" w:hAnsi="Arial" w:eastAsia="宋体"/>
      <w:b/>
      <w:sz w:val="24"/>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rFonts w:eastAsia="宋体" w:asciiTheme="minorAscii" w:hAnsiTheme="minorAscii"/>
      <w:b/>
      <w:sz w:val="21"/>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2"/>
    <w:basedOn w:val="1"/>
    <w:next w:val="1"/>
    <w:qFormat/>
    <w:uiPriority w:val="0"/>
    <w:pPr>
      <w:ind w:left="420" w:leftChars="200"/>
    </w:pPr>
  </w:style>
  <w:style w:type="paragraph" w:styleId="10">
    <w:name w:val="Normal (Web)"/>
    <w:basedOn w:val="1"/>
    <w:qFormat/>
    <w:uiPriority w:val="0"/>
    <w:rPr>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1374</Words>
  <Characters>1394</Characters>
  <Lines>0</Lines>
  <Paragraphs>0</Paragraphs>
  <TotalTime>7</TotalTime>
  <ScaleCrop>false</ScaleCrop>
  <LinksUpToDate>false</LinksUpToDate>
  <CharactersWithSpaces>1488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2024-11-05T09:05:00Z</dcterms:created>
  <dc:creator>EDY</dc:creator>
  <cp:lastModifiedBy>等风吹</cp:lastModifiedBy>
  <dcterms:modified xsi:type="dcterms:W3CDTF">2024-11-30T07:02:46Z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C453CA67E21E41B093764DF4625ECCE6_13</vt:lpwstr>
  </property>
</Properties>
</file>