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b/>
          <w:sz w:val="56"/>
          <w:lang w:eastAsia="en-US"/>
        </w:rPr>
      </w:pPr>
      <w:r>
        <w:rPr>
          <w:rFonts w:hint="default"/>
          <w:b/>
          <w:sz w:val="56"/>
          <w:lang w:eastAsia="en-US"/>
        </w:rPr>
        <w:t>Clasificaci</w:t>
      </w:r>
      <w:r>
        <w:rPr>
          <w:rFonts w:hint="default"/>
          <w:b/>
          <w:sz w:val="56"/>
          <w:lang w:eastAsia="en-US"/>
        </w:rPr>
        <w:t>ó</w:t>
      </w:r>
      <w:r>
        <w:rPr>
          <w:rFonts w:hint="default"/>
          <w:b/>
          <w:sz w:val="56"/>
          <w:lang w:eastAsia="en-US"/>
        </w:rPr>
        <w:t>n de barrios</w:t>
      </w:r>
    </w:p>
    <w:p>
      <w:pPr>
        <w:pStyle w:val="2"/>
        <w:spacing w:before="312" w:beforeLines="0" w:beforeAutospacing="0" w:after="312" w:afterLines="0" w:afterAutospacing="0"/>
        <w:rPr>
          <w:lang w:eastAsia="en-US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b/>
          <w:sz w:val="36"/>
        </w:rPr>
      </w:pPr>
      <w:r>
        <w:rPr>
          <w:rFonts w:hint="default"/>
          <w:b/>
          <w:sz w:val="36"/>
          <w:lang w:eastAsia="en-US"/>
        </w:rPr>
        <w:t>Reading 01</w:t>
      </w:r>
    </w:p>
    <w:p>
      <w:pPr>
        <w:spacing w:before="312" w:beforeLines="0" w:beforeAutospacing="0" w:after="312" w:afterLines="0" w:afterAutospacing="0" w:line="360" w:lineRule="auto"/>
        <w:jc w:val="center"/>
        <w:rPr>
          <w:sz w:val="28"/>
          <w:lang w:eastAsia="en-US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sz w:val="28"/>
        </w:rPr>
      </w:pPr>
      <w:r>
        <w:rPr>
          <w:rFonts w:hint="default"/>
          <w:sz w:val="28"/>
          <w:lang w:eastAsia="en-US"/>
        </w:rPr>
        <w:t>Introducción a la ciencia de datos</w:t>
      </w:r>
    </w:p>
    <w:p>
      <w:pPr>
        <w:spacing w:before="312" w:beforeLines="0" w:beforeAutospacing="0" w:after="312" w:afterLines="0" w:afterAutospacing="0" w:line="360" w:lineRule="auto"/>
        <w:jc w:val="center"/>
        <w:rPr>
          <w:sz w:val="28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sz w:val="28"/>
          <w:lang w:eastAsia="en-US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sz w:val="28"/>
          <w:lang w:eastAsia="en-US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sz w:val="28"/>
        </w:rPr>
      </w:pPr>
      <w:r>
        <w:rPr>
          <w:rFonts w:hint="default"/>
          <w:sz w:val="28"/>
          <w:lang w:eastAsia="en-US"/>
        </w:rPr>
        <w:t>Autor</w:t>
      </w:r>
    </w:p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sz w:val="28"/>
        </w:rPr>
      </w:pPr>
      <w:r>
        <w:rPr>
          <w:sz w:val="28"/>
        </w:rPr>
        <w:t xml:space="preserve"> </w:t>
      </w:r>
      <w:r>
        <w:rPr>
          <w:rFonts w:hint="default"/>
          <w:sz w:val="28"/>
          <w:lang w:eastAsia="en-US"/>
        </w:rPr>
        <w:t>Franklin Enmanuel Magallanes Pinargote</w:t>
      </w:r>
    </w:p>
    <w:p>
      <w:pPr>
        <w:spacing w:before="312" w:beforeLines="0" w:beforeAutospacing="0" w:after="312" w:afterLines="0" w:afterAutospacing="0" w:line="360" w:lineRule="auto"/>
        <w:jc w:val="center"/>
        <w:rPr>
          <w:sz w:val="28"/>
        </w:rPr>
      </w:pPr>
    </w:p>
    <w:p>
      <w:pPr>
        <w:spacing w:before="312" w:beforeLines="0" w:beforeAutospacing="0" w:after="312" w:afterLines="0" w:afterAutospacing="0" w:line="360" w:lineRule="auto"/>
        <w:jc w:val="center"/>
        <w:rPr>
          <w:lang w:eastAsia="en-US"/>
        </w:rPr>
        <w:sectPr>
          <w:pgSz w:w="11906" w:h="16838"/>
          <w:pgMar w:top="1417" w:right="1417" w:bottom="1417" w:left="2097" w:header="720" w:footer="720" w:gutter="0"/>
          <w:cols w:space="720" w:num="1"/>
          <w:docGrid w:type="lines" w:linePitch="312" w:charSpace="0"/>
        </w:sectPr>
      </w:pPr>
    </w:p>
    <w:p>
      <w:pPr>
        <w:spacing w:before="312" w:beforeLines="0" w:beforeAutospacing="0" w:after="312" w:afterLines="0" w:afterAutospacing="0" w:line="360" w:lineRule="auto"/>
        <w:jc w:val="center"/>
        <w:rPr>
          <w:rFonts w:hint="default"/>
          <w:b/>
          <w:sz w:val="28"/>
        </w:rPr>
      </w:pPr>
      <w:r>
        <w:rPr>
          <w:rFonts w:hint="default"/>
          <w:b/>
          <w:sz w:val="28"/>
          <w:lang w:eastAsia="en-US"/>
        </w:rPr>
        <w:t>CONTENIDO</w:t>
      </w:r>
    </w:p>
    <w:p>
      <w:pPr>
        <w:pStyle w:val="11"/>
        <w:tabs>
          <w:tab w:val="right" w:leader="dot" w:pos="8392"/>
        </w:tabs>
      </w:pPr>
      <w:r>
        <w:fldChar w:fldCharType="begin"/>
      </w:r>
      <w:r>
        <w:instrText xml:space="preserve">TOC \o "1-3" \h  \u </w:instrText>
      </w:r>
      <w:r>
        <w:fldChar w:fldCharType="separate"/>
      </w:r>
      <w:r>
        <w:fldChar w:fldCharType="begin"/>
      </w:r>
      <w:r>
        <w:instrText xml:space="preserve"> HYPERLINK \l _Toc2141508717 </w:instrText>
      </w:r>
      <w:r>
        <w:fldChar w:fldCharType="separate"/>
      </w:r>
      <w:r>
        <w:rPr>
          <w:lang w:eastAsia="en-US"/>
        </w:rPr>
        <w:t xml:space="preserve">1. </w:t>
      </w:r>
      <w:r>
        <w:rPr>
          <w:rFonts w:hint="default"/>
          <w:lang w:eastAsia="en-US"/>
        </w:rPr>
        <w:t>Desarrollo</w:t>
      </w:r>
      <w:r>
        <w:tab/>
      </w:r>
      <w:r>
        <w:fldChar w:fldCharType="begin"/>
      </w:r>
      <w:r>
        <w:instrText xml:space="preserve"> PAGEREF _Toc2141508717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92"/>
        </w:tabs>
      </w:pPr>
      <w:r>
        <w:fldChar w:fldCharType="begin"/>
      </w:r>
      <w:r>
        <w:instrText xml:space="preserve"> HYPERLINK \l _Toc598586461 </w:instrText>
      </w:r>
      <w:r>
        <w:fldChar w:fldCharType="separate"/>
      </w:r>
      <w:r>
        <w:rPr>
          <w:rFonts w:hint="default"/>
          <w:lang w:eastAsia="en-US"/>
        </w:rPr>
        <w:t>2. Referencias</w:t>
      </w:r>
      <w:r>
        <w:tab/>
      </w:r>
      <w:r>
        <w:fldChar w:fldCharType="begin"/>
      </w:r>
      <w:r>
        <w:instrText xml:space="preserve"> PAGEREF _Toc598586461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spacing w:before="312" w:beforeLines="0" w:beforeAutospacing="0" w:after="312" w:afterLines="0" w:afterAutospacing="0"/>
        <w:rPr>
          <w:rFonts w:hint="default"/>
          <w:lang w:eastAsia="en-US"/>
        </w:rPr>
      </w:pPr>
      <w:r>
        <w:fldChar w:fldCharType="end"/>
      </w:r>
      <w:bookmarkStart w:id="0" w:name="_Toc2141508717"/>
      <w:r>
        <w:br w:type="page"/>
      </w:r>
      <w:r>
        <w:rPr>
          <w:lang w:eastAsia="en-US"/>
        </w:rPr>
        <w:t xml:space="preserve">1. </w:t>
      </w:r>
      <w:r>
        <w:rPr>
          <w:rFonts w:hint="default"/>
          <w:lang w:eastAsia="en-US"/>
        </w:rPr>
        <w:t>Desarrollo</w:t>
      </w:r>
      <w:bookmarkEnd w:id="0"/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>En base a lo expuesto en (Huina Mao et al., 2017), se tenía como propósito obtener patrones espacio-temporales de las activades de los usuarios de telefonía. Para esto, la data raw, pasó por los siguientes tres pasos:</w:t>
      </w:r>
    </w:p>
    <w:p>
      <w:pPr>
        <w:rPr>
          <w:rFonts w:hint="default"/>
          <w:lang w:eastAsia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Agregar a cada antena el volumen total de llamadas por cada hora y normalizar cada serie temporal original de volumen de llamadas en </w:t>
      </w:r>
      <w:r>
        <w:rPr>
          <w:rFonts w:hint="default"/>
          <w:i/>
          <w:iCs/>
          <w:lang w:eastAsia="en-US"/>
        </w:rPr>
        <w:t>z-score</w:t>
      </w:r>
      <w:r>
        <w:rPr>
          <w:rFonts w:hint="default"/>
          <w:i w:val="0"/>
          <w:iCs w:val="0"/>
          <w:lang w:eastAsia="en-US"/>
        </w:rPr>
        <w:t xml:space="preserve">, denotado como </w:t>
      </w:r>
      <m:oMath>
        <m:sSubSup>
          <m:sSubSupPr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/>
                <w:sz w:val="16"/>
                <w:szCs w:val="15"/>
                <w:lang w:eastAsia="en-US"/>
              </w:rPr>
              <m:t>z</m:t>
            </m:r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/>
                <w:sz w:val="16"/>
                <w:szCs w:val="15"/>
                <w:lang w:eastAsia="en-US"/>
              </w:rPr>
              <m:t>i</m:t>
            </m:r>
            <m:ctrlPr>
              <w:rPr>
                <w:rFonts w:hint="default" w:ascii="DejaVu Math TeX Gyre" w:hAnsi="DejaVu Math TeX Gyre"/>
                <w:iCs w:val="0"/>
                <w:sz w:val="16"/>
                <w:szCs w:val="15"/>
                <w:lang w:eastAsia="en-US"/>
              </w:rPr>
            </m:ctrlPr>
          </m:sub>
          <m:sup>
            <m:r>
              <m:rPr>
                <m:sty m:val="p"/>
              </m:rPr>
              <w:rPr>
                <w:rFonts w:ascii="DejaVu Math TeX Gyre" w:hAnsi="DejaVu Math TeX Gyre"/>
                <w:sz w:val="16"/>
                <w:szCs w:val="15"/>
              </w:rPr>
              <m:t>ε</m:t>
            </m:r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sup>
        </m:sSubSup>
        <m:r>
          <m:rPr>
            <m:sty m:val="p"/>
          </m:rPr>
          <w:rPr>
            <w:rFonts w:hint="default" w:ascii="DejaVu Math TeX Gyre"/>
            <w:sz w:val="16"/>
            <w:szCs w:val="15"/>
            <w:lang w:eastAsia="en-US"/>
          </w:rPr>
          <m:t xml:space="preserve">(t) = </m:t>
        </m:r>
        <m:f>
          <m:fPr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fPr>
          <m:num>
            <m:sSub>
              <m:sSubPr>
                <m:ctrlPr>
                  <w:rPr>
                    <w:rFonts w:hint="default" w:ascii="DejaVu Math TeX Gyre"/>
                    <w:i w:val="0"/>
                    <w:iCs w:val="0"/>
                    <w:sz w:val="16"/>
                    <w:szCs w:val="15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/>
                    <w:sz w:val="16"/>
                    <w:szCs w:val="15"/>
                    <w:lang w:eastAsia="en-US"/>
                  </w:rPr>
                  <m:t>v</m:t>
                </m:r>
                <m:ctrlPr>
                  <w:rPr>
                    <w:rFonts w:hint="default" w:ascii="DejaVu Math TeX Gyre"/>
                    <w:i w:val="0"/>
                    <w:iCs w:val="0"/>
                    <w:sz w:val="16"/>
                    <w:szCs w:val="15"/>
                    <w:lang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/>
                    <w:sz w:val="16"/>
                    <w:szCs w:val="15"/>
                    <w:lang w:eastAsia="en-US"/>
                  </w:rPr>
                  <m:t>i</m:t>
                </m:r>
                <m:ctrlPr>
                  <w:rPr>
                    <w:rFonts w:hint="default" w:ascii="DejaVu Math TeX Gyre"/>
                    <w:i w:val="0"/>
                    <w:iCs w:val="0"/>
                    <w:sz w:val="16"/>
                    <w:szCs w:val="15"/>
                    <w:lang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/>
                <w:sz w:val="16"/>
                <w:szCs w:val="15"/>
                <w:lang w:eastAsia="en-US"/>
              </w:rPr>
              <m:t>−</m:t>
            </m:r>
            <m:sSub>
              <m:sSubPr>
                <m:ctrlPr>
                  <w:rPr>
                    <w:rFonts w:ascii="DejaVu Math TeX Gyre" w:hAnsi="DejaVu Math TeX Gyre"/>
                    <w:iCs w:val="0"/>
                    <w:sz w:val="16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6"/>
                    <w:szCs w:val="15"/>
                  </w:rPr>
                  <m:t>μ</m:t>
                </m:r>
                <m:ctrlPr>
                  <w:rPr>
                    <w:rFonts w:ascii="DejaVu Math TeX Gyre" w:hAnsi="DejaVu Math TeX Gyre"/>
                    <w:iCs w:val="0"/>
                    <w:sz w:val="16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16"/>
                    <w:szCs w:val="15"/>
                  </w:rPr>
                  <m:t>i</m:t>
                </m:r>
                <m:ctrlPr>
                  <w:rPr>
                    <w:rFonts w:ascii="DejaVu Math TeX Gyre" w:hAnsi="DejaVu Math TeX Gyre"/>
                    <w:iCs w:val="0"/>
                    <w:sz w:val="16"/>
                    <w:szCs w:val="15"/>
                  </w:rPr>
                </m:ctrlPr>
              </m:sub>
            </m:sSub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/>
                    <w:iCs w:val="0"/>
                    <w:sz w:val="16"/>
                    <w:szCs w:val="15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6"/>
                    <w:szCs w:val="15"/>
                  </w:rPr>
                  <m:t>σ</m:t>
                </m:r>
                <m:ctrlPr>
                  <w:rPr>
                    <w:rFonts w:hint="default" w:ascii="DejaVu Math TeX Gyre"/>
                    <w:i w:val="0"/>
                    <w:iCs w:val="0"/>
                    <w:sz w:val="16"/>
                    <w:szCs w:val="15"/>
                    <w:lang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/>
                    <w:sz w:val="16"/>
                    <w:szCs w:val="15"/>
                    <w:lang w:eastAsia="en-US"/>
                  </w:rPr>
                  <m:t>i</m:t>
                </m:r>
                <m:ctrlPr>
                  <w:rPr>
                    <w:rFonts w:hint="default" w:ascii="DejaVu Math TeX Gyre" w:hAnsi="DejaVu Math TeX Gyre"/>
                    <w:iCs w:val="0"/>
                    <w:sz w:val="16"/>
                    <w:szCs w:val="15"/>
                    <w:lang w:eastAsia="en-US"/>
                  </w:rPr>
                </m:ctrlPr>
              </m:sub>
            </m:sSub>
            <m:ctrlPr>
              <w:rPr>
                <w:rFonts w:hint="default" w:ascii="DejaVu Math TeX Gyre"/>
                <w:i w:val="0"/>
                <w:iCs w:val="0"/>
                <w:sz w:val="16"/>
                <w:szCs w:val="15"/>
                <w:lang w:eastAsia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/>
            <w:kern w:val="2"/>
            <w:sz w:val="16"/>
            <w:lang w:eastAsia="en-US"/>
          </w:rPr>
          <m:t xml:space="preserve"> </m:t>
        </m:r>
      </m:oMath>
      <w:r>
        <w:rPr>
          <w:rFonts w:hint="default" w:hAnsi="DejaVu Math TeX Gyre"/>
          <w:i w:val="0"/>
          <w:iCs w:val="0"/>
          <w:kern w:val="2"/>
          <w:sz w:val="21"/>
          <w:lang w:eastAsia="en-US"/>
        </w:rPr>
        <w:t xml:space="preserve">, donde </w:t>
      </w:r>
      <m:oMath>
        <m:sSub>
          <m:sSubP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SubPr>
          <m:e>
            <m:r>
              <m:rPr/>
              <w:rPr>
                <w:rFonts w:hint="default" w:ascii="DejaVu Math TeX Gyre" w:hAnsi="DejaVu Math TeX Gyre"/>
                <w:kern w:val="2"/>
                <w:sz w:val="21"/>
              </w:rPr>
              <m:t>v</m:t>
            </m: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e>
          <m:sub>
            <m:r>
              <m:rPr/>
              <w:rPr>
                <w:rFonts w:hint="default" w:ascii="DejaVu Math TeX Gyre" w:hAnsi="DejaVu Math TeX Gyre"/>
                <w:kern w:val="2"/>
                <w:sz w:val="21"/>
              </w:rPr>
              <m:t>i</m:t>
            </m: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ub>
        </m:sSub>
        <m:r>
          <m:rPr/>
          <w:rPr>
            <w:rFonts w:hint="default" w:ascii="DejaVu Math TeX Gyre" w:hAnsi="DejaVu Math TeX Gyre"/>
            <w:kern w:val="2"/>
            <w:sz w:val="21"/>
          </w:rPr>
          <m:t>(t)</m:t>
        </m:r>
      </m:oMath>
      <w:r>
        <w:rPr>
          <w:rFonts w:hint="default" w:hAnsi="DejaVu Math TeX Gyre"/>
          <w:i w:val="0"/>
          <w:iCs w:val="0"/>
          <w:kern w:val="2"/>
          <w:sz w:val="21"/>
        </w:rPr>
        <w:t xml:space="preserve"> representa el volumen total de llamadas por la antena </w:t>
      </w:r>
      <m:oMath>
        <m:r>
          <m:rPr>
            <m:sty m:val="p"/>
          </m:rPr>
          <w:rPr>
            <w:rFonts w:hint="default" w:ascii="DejaVu Math TeX Gyre" w:hAnsi="DejaVu Math TeX Gyre"/>
            <w:kern w:val="2"/>
            <w:sz w:val="21"/>
            <w:lang w:eastAsia="zh-CN"/>
          </w:rPr>
          <m:t>i</m:t>
        </m:r>
      </m:oMath>
      <w:r>
        <w:rPr>
          <w:rFonts w:hint="default" w:hAnsi="DejaVu Math TeX Gyre"/>
          <w:i w:val="0"/>
          <w:iCs w:val="0"/>
          <w:kern w:val="2"/>
          <w:sz w:val="21"/>
          <w:lang w:eastAsia="zh-CN"/>
        </w:rPr>
        <w:t xml:space="preserve"> en la hora </w:t>
      </w:r>
      <m:oMath>
        <m:r>
          <m:rPr>
            <m:sty m:val="p"/>
          </m:rPr>
          <w:rPr>
            <w:rFonts w:ascii="DejaVu Math TeX Gyre" w:hAnsi="DejaVu Math TeX Gyre"/>
            <w:kern w:val="2"/>
            <w:sz w:val="21"/>
            <w:lang w:eastAsia="zh-CN"/>
          </w:rPr>
          <m:t>t</m:t>
        </m:r>
      </m:oMath>
      <w:r>
        <w:rPr>
          <w:rFonts w:hint="default" w:hAnsi="DejaVu Math TeX Gyre"/>
          <w:i w:val="0"/>
          <w:iCs w:val="0"/>
          <w:kern w:val="2"/>
          <w:sz w:val="21"/>
          <w:lang w:eastAsia="zh-CN"/>
        </w:rPr>
        <w:t xml:space="preserve">, </w:t>
      </w:r>
      <m:oMath>
        <m:sSub>
          <m:sSubP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SubPr>
          <m:e>
            <m:r>
              <m:rPr/>
              <w:rPr>
                <w:rFonts w:ascii="DejaVu Math TeX Gyre" w:hAnsi="DejaVu Math TeX Gyre"/>
                <w:kern w:val="2"/>
                <w:sz w:val="21"/>
              </w:rPr>
              <m:t>μ</m:t>
            </m: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e>
          <m:sub>
            <m:r>
              <m:rPr/>
              <w:rPr>
                <w:rFonts w:hint="default" w:ascii="DejaVu Math TeX Gyre" w:hAnsi="DejaVu Math TeX Gyre"/>
                <w:kern w:val="2"/>
                <w:sz w:val="21"/>
              </w:rPr>
              <m:t>i</m:t>
            </m: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ub>
        </m:sSub>
      </m:oMath>
      <w:r>
        <w:rPr>
          <w:rFonts w:hint="default" w:hAnsi="DejaVu Math TeX Gyre"/>
          <w:i w:val="0"/>
          <w:iCs w:val="0"/>
          <w:kern w:val="2"/>
          <w:sz w:val="21"/>
        </w:rPr>
        <w:t xml:space="preserve"> es el promedio de volumen de llamadas de la antena </w:t>
      </w:r>
      <m:oMath>
        <m:sSup>
          <m:sSupP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SupPr>
          <m:e>
            <m:r>
              <m:rPr/>
              <w:rPr>
                <w:rFonts w:hint="default" w:ascii="DejaVu Math TeX Gyre" w:hAnsi="DejaVu Math TeX Gyre"/>
                <w:kern w:val="2"/>
                <w:sz w:val="21"/>
              </w:rPr>
              <m:t>i</m:t>
            </m:r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e>
          <m:sup>
            <m:ctrlPr>
              <w:rPr>
                <w:rFonts w:ascii="DejaVu Math TeX Gyre" w:hAnsi="DejaVu Math TeX Gyre"/>
                <w:i/>
                <w:iCs w:val="0"/>
                <w:kern w:val="2"/>
                <w:sz w:val="21"/>
              </w:rPr>
            </m:ctrlPr>
          </m:sup>
        </m:sSup>
      </m:oMath>
      <w:r>
        <w:rPr>
          <w:rFonts w:hint="default" w:hAnsi="DejaVu Math TeX Gyre"/>
          <w:i w:val="0"/>
          <w:iCs w:val="0"/>
          <w:kern w:val="2"/>
          <w:sz w:val="21"/>
        </w:rPr>
        <w:t>.</w:t>
      </w:r>
      <w:r>
        <w:rPr>
          <w:rFonts w:hint="default"/>
          <w:lang w:eastAsia="en-US"/>
        </w:rPr>
        <w:t xml:space="preserve"> Esta escala de normalización permite el comparar diferentes antenas de telefónia.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Con el volumen de llamadas normalizado, calculamos el promedio de actividad de todas las areas durante una hora, para restarlo al </w:t>
      </w:r>
      <w:r>
        <w:rPr>
          <w:rFonts w:hint="default"/>
          <w:i/>
          <w:iCs/>
          <w:lang w:eastAsia="en-US"/>
        </w:rPr>
        <w:t xml:space="preserve">z-score. </w:t>
      </w:r>
      <w:r>
        <w:rPr>
          <w:rFonts w:hint="default"/>
          <w:i w:val="0"/>
          <w:iCs w:val="0"/>
          <w:lang w:eastAsia="en-US"/>
        </w:rPr>
        <w:t>Obteniendo</w:t>
      </w:r>
      <w:r>
        <w:rPr>
          <w:rFonts w:hint="default"/>
          <w:lang w:eastAsia="en-US"/>
        </w:rPr>
        <w:t xml:space="preserve"> el </w:t>
      </w:r>
      <w:r>
        <w:rPr>
          <w:rFonts w:hint="default"/>
          <w:i/>
          <w:iCs/>
          <w:lang w:eastAsia="en-US"/>
        </w:rPr>
        <w:t>z-score residual espacial</w:t>
      </w:r>
      <w:r>
        <w:rPr>
          <w:rFonts w:hint="default"/>
          <w:i w:val="0"/>
          <w:iCs w:val="0"/>
          <w:lang w:eastAsia="en-US"/>
        </w:rPr>
        <w:t xml:space="preserve">. Denotado como: </w:t>
      </w:r>
      <m:oMath>
        <m:sSubSup>
          <m:sSubSupP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z</m:t>
            </m: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i</m:t>
            </m: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sub>
          <m:sup>
            <m:r>
              <m:rPr/>
              <w:rPr>
                <w:rFonts w:ascii="DejaVu Math TeX Gyre" w:hAnsi="DejaVu Math TeX Gyre"/>
                <w:sz w:val="16"/>
                <w:szCs w:val="15"/>
              </w:rPr>
              <m:t>ε</m:t>
            </m: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sup>
        </m:sSubSup>
        <m:r>
          <m:rPr/>
          <w:rPr>
            <w:rFonts w:hint="default" w:ascii="DejaVu Math TeX Gyre" w:hAnsi="DejaVu Math TeX Gyre"/>
            <w:sz w:val="16"/>
            <w:szCs w:val="15"/>
          </w:rPr>
          <m:t>(t)=</m:t>
        </m:r>
        <m:sSub>
          <m:sSubPr>
            <m:ctrlPr>
              <w:rPr>
                <w:rFonts w:hint="default" w:ascii="DejaVu Math TeX Gyre" w:hAnsi="DejaVu Math TeX Gyre"/>
                <w:i/>
                <w:iCs w:val="0"/>
                <w:sz w:val="16"/>
                <w:szCs w:val="15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z</m:t>
            </m:r>
            <m:ctrlPr>
              <w:rPr>
                <w:rFonts w:hint="default" w:ascii="DejaVu Math TeX Gyre" w:hAnsi="DejaVu Math TeX Gyre"/>
                <w:i/>
                <w:iCs w:val="0"/>
                <w:sz w:val="16"/>
                <w:szCs w:val="15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i</m:t>
            </m:r>
            <m:ctrlPr>
              <w:rPr>
                <w:rFonts w:hint="default" w:ascii="DejaVu Math TeX Gyre" w:hAnsi="DejaVu Math TeX Gyre"/>
                <w:i/>
                <w:iCs w:val="0"/>
                <w:sz w:val="16"/>
                <w:szCs w:val="15"/>
              </w:rPr>
            </m:ctrlPr>
          </m:sub>
        </m:sSub>
        <m:r>
          <m:rPr/>
          <w:rPr>
            <w:rFonts w:hint="default" w:ascii="DejaVu Math TeX Gyre" w:hAnsi="DejaVu Math TeX Gyre"/>
            <w:sz w:val="16"/>
            <w:szCs w:val="15"/>
          </w:rPr>
          <m:t>(t)−</m:t>
        </m:r>
        <m:acc>
          <m:accPr>
            <m:chr m:val="̅"/>
            <m:ctrlPr>
              <w:rPr>
                <w:rFonts w:hint="default" w:ascii="DejaVu Math TeX Gyre" w:hAnsi="DejaVu Math TeX Gyre"/>
                <w:i/>
                <w:iCs w:val="0"/>
                <w:sz w:val="16"/>
                <w:szCs w:val="15"/>
              </w:rPr>
            </m:ctrlPr>
          </m:accPr>
          <m:e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z(t)</m:t>
            </m:r>
            <m:ctrlPr>
              <w:rPr>
                <w:rFonts w:hint="default" w:ascii="DejaVu Math TeX Gyre" w:hAnsi="DejaVu Math TeX Gyre"/>
                <w:i/>
                <w:iCs w:val="0"/>
                <w:sz w:val="16"/>
                <w:szCs w:val="15"/>
              </w:rPr>
            </m:ctrlPr>
          </m:e>
        </m:acc>
      </m:oMath>
      <w:r>
        <w:rPr>
          <w:rFonts w:hint="default" w:hAnsi="DejaVu Math TeX Gyre"/>
          <w:i w:val="0"/>
          <w:iCs w:val="0"/>
          <w:sz w:val="16"/>
          <w:szCs w:val="15"/>
        </w:rPr>
        <w:t xml:space="preserve">, </w:t>
      </w:r>
      <w:r>
        <w:rPr>
          <w:rFonts w:hint="default" w:hAnsi="DejaVu Math TeX Gyre"/>
          <w:i w:val="0"/>
          <w:iCs w:val="0"/>
          <w:sz w:val="21"/>
          <w:szCs w:val="20"/>
        </w:rPr>
        <w:t xml:space="preserve">donde </w:t>
      </w:r>
      <m:oMath>
        <m:acc>
          <m:accPr>
            <m:chr m:val="̅"/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accPr>
          <m:e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z(t)</m:t>
            </m: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e>
        </m:acc>
      </m:oMath>
      <w:r>
        <w:rPr>
          <w:rFonts w:hint="default" w:hAnsi="DejaVu Math TeX Gyre"/>
          <w:i w:val="0"/>
          <w:iCs w:val="0"/>
        </w:rPr>
        <w:t xml:space="preserve"> representa el pr</w:t>
      </w:r>
      <w:r>
        <w:rPr>
          <w:rFonts w:hint="default" w:hAnsi="DejaVu Math TeX Gyre"/>
          <w:i w:val="0"/>
          <w:iCs w:val="0"/>
          <w:lang/>
        </w:rPr>
        <w:t>o</w:t>
      </w:r>
      <w:r>
        <w:rPr>
          <w:rFonts w:hint="default" w:hAnsi="DejaVu Math TeX Gyre"/>
          <w:i w:val="0"/>
          <w:iCs w:val="0"/>
        </w:rPr>
        <w:t xml:space="preserve">medio normalizado del volumen de llamadas en el tiempo </w:t>
      </w:r>
      <m:oMath>
        <m:r>
          <m:rPr>
            <m:sty m:val="p"/>
          </m:rPr>
          <w:rPr>
            <w:rFonts w:ascii="DejaVu Math TeX Gyre" w:hAnsi="DejaVu Math TeX Gyre"/>
            <w:kern w:val="2"/>
            <w:sz w:val="21"/>
            <w:lang w:eastAsia="zh-CN"/>
          </w:rPr>
          <m:t>t</m:t>
        </m:r>
      </m:oMath>
      <w:r>
        <w:rPr>
          <w:rFonts w:hint="default" w:hAnsi="DejaVu Math TeX Gyre"/>
          <w:i w:val="0"/>
          <w:iCs w:val="0"/>
          <w:kern w:val="2"/>
          <w:sz w:val="21"/>
          <w:lang w:eastAsia="zh-CN"/>
        </w:rPr>
        <w:t>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eastAsia="en-US"/>
        </w:rPr>
      </w:pPr>
      <w:r>
        <w:rPr>
          <w:rFonts w:hint="default"/>
          <w:i w:val="0"/>
          <w:iCs w:val="0"/>
          <w:lang w:eastAsia="en-US"/>
        </w:rPr>
        <w:t xml:space="preserve">Calcular </w:t>
      </w:r>
      <m:oMath>
        <m:sSubSup>
          <m:sSubSupPr>
            <m:ctrlPr>
              <w:rPr>
                <w:rFonts w:ascii="DejaVu Math TeX Gyre" w:hAnsi="DejaVu Math TeX Gyre"/>
                <w:i/>
                <w:iCs w:val="0"/>
              </w:rPr>
            </m:ctrlPr>
          </m:sSubSupPr>
          <m:e>
            <m:r>
              <m:rPr/>
              <w:rPr>
                <w:rFonts w:hint="default" w:ascii="DejaVu Math TeX Gyre" w:hAnsi="DejaVu Math TeX Gyre"/>
              </w:rPr>
              <m:t>z</m:t>
            </m:r>
            <m:ctrlPr>
              <w:rPr>
                <w:rFonts w:ascii="DejaVu Math TeX Gyre" w:hAnsi="DejaVu Math TeX Gyre"/>
                <w:i/>
                <w:iCs w:val="0"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  <w:iCs w:val="0"/>
              </w:rPr>
            </m:ctrlPr>
          </m:sub>
          <m:sup>
            <m:r>
              <m:rPr/>
              <w:rPr>
                <w:rFonts w:ascii="DejaVu Math TeX Gyre" w:hAnsi="DejaVu Math TeX Gyre"/>
              </w:rPr>
              <m:t>ε</m:t>
            </m:r>
            <m:ctrlPr>
              <w:rPr>
                <w:rFonts w:ascii="DejaVu Math TeX Gyre" w:hAnsi="DejaVu Math TeX Gyre"/>
                <w:i/>
                <w:iCs w:val="0"/>
              </w:rPr>
            </m:ctrlPr>
          </m:sup>
        </m:sSubSup>
        <m:r>
          <m:rPr/>
          <w:rPr>
            <w:rFonts w:hint="default" w:ascii="DejaVu Math TeX Gyre" w:hAnsi="DejaVu Math TeX Gyre"/>
          </w:rPr>
          <m:t>(t)</m:t>
        </m:r>
      </m:oMath>
      <w:r>
        <w:rPr>
          <w:rFonts w:hint="default"/>
          <w:i w:val="0"/>
          <w:iCs w:val="0"/>
          <w:lang w:eastAsia="en-US"/>
        </w:rPr>
        <w:t xml:space="preserve">, de cada antena por hora del día (0 AM a 11 PM) y día de la semana (Lunes hasta Domingo). Obteniendo así </w:t>
      </w:r>
      <m:oMath>
        <m:acc>
          <m:accPr>
            <m:chr m:val="̅"/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accPr>
          <m:e>
            <m:sSubSup>
              <m:sSubSupPr>
                <m:ctrlPr>
                  <w:rPr>
                    <w:rFonts w:ascii="DejaVu Math TeX Gyre" w:hAnsi="DejaVu Math TeX Gyre"/>
                    <w:i/>
                    <w:iCs w:val="0"/>
                    <w:sz w:val="16"/>
                    <w:szCs w:val="15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16"/>
                    <w:szCs w:val="15"/>
                  </w:rPr>
                  <m:t>z</m:t>
                </m:r>
                <m:ctrlPr>
                  <w:rPr>
                    <w:rFonts w:ascii="DejaVu Math TeX Gyre" w:hAnsi="DejaVu Math TeX Gyre"/>
                    <w:i/>
                    <w:iCs w:val="0"/>
                    <w:sz w:val="16"/>
                    <w:szCs w:val="15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16"/>
                    <w:szCs w:val="15"/>
                  </w:rPr>
                  <m:t>i</m:t>
                </m:r>
                <m:ctrlPr>
                  <w:rPr>
                    <w:rFonts w:ascii="DejaVu Math TeX Gyre" w:hAnsi="DejaVu Math TeX Gyre"/>
                    <w:i/>
                    <w:iCs w:val="0"/>
                    <w:sz w:val="16"/>
                    <w:szCs w:val="15"/>
                  </w:rPr>
                </m:ctrlPr>
              </m:sub>
              <m:sup>
                <m:r>
                  <m:rPr/>
                  <w:rPr>
                    <w:rFonts w:ascii="DejaVu Math TeX Gyre" w:hAnsi="DejaVu Math TeX Gyre"/>
                    <w:sz w:val="16"/>
                    <w:szCs w:val="15"/>
                  </w:rPr>
                  <m:t>ε</m:t>
                </m:r>
                <m:ctrlPr>
                  <w:rPr>
                    <w:rFonts w:ascii="DejaVu Math TeX Gyre" w:hAnsi="DejaVu Math TeX Gyre"/>
                    <w:i/>
                    <w:iCs w:val="0"/>
                    <w:sz w:val="16"/>
                    <w:szCs w:val="15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sz w:val="16"/>
                <w:szCs w:val="15"/>
              </w:rPr>
              <m:t>(t)</m:t>
            </m:r>
            <m:ctrlPr>
              <w:rPr>
                <w:rFonts w:ascii="DejaVu Math TeX Gyre" w:hAnsi="DejaVu Math TeX Gyre"/>
                <w:i/>
                <w:iCs w:val="0"/>
                <w:sz w:val="16"/>
                <w:szCs w:val="15"/>
              </w:rPr>
            </m:ctrlPr>
          </m:e>
        </m:acc>
      </m:oMath>
      <w:r>
        <w:rPr>
          <w:rFonts w:hint="default" w:hAnsi="DejaVu Math TeX Gyre"/>
          <w:i w:val="0"/>
          <w:iCs w:val="0"/>
        </w:rPr>
        <w:t>.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eastAsia="en-US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lang w:eastAsia="en-US"/>
        </w:rPr>
      </w:pPr>
      <w:r>
        <w:rPr>
          <w:rFonts w:hint="default"/>
          <w:i w:val="0"/>
          <w:iCs w:val="0"/>
          <w:lang w:eastAsia="en-US"/>
        </w:rPr>
        <w:t>Luego de realizado los tres pasos obtenemos un vector de 168 dimensiones</w:t>
      </w:r>
      <w:r>
        <w:rPr>
          <w:rFonts w:hint="default"/>
          <w:i/>
          <w:iCs/>
          <w:lang w:eastAsia="en-US"/>
        </w:rPr>
        <w:t xml:space="preserve"> </w:t>
      </w:r>
      <w:r>
        <w:rPr>
          <w:rFonts w:hint="default"/>
          <w:i w:val="0"/>
          <w:iCs w:val="0"/>
          <w:lang w:eastAsia="en-US"/>
        </w:rPr>
        <w:t xml:space="preserve">(7 días x 24 horas) para cada antena de telefonía. En el artículo también se menciona, que se descartan para el estudio antenas que no tengan todas las 168 dimensiones. 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eastAsia="en-US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lang w:eastAsia="en-US"/>
        </w:rPr>
      </w:pPr>
      <w:r>
        <w:rPr>
          <w:rFonts w:hint="default"/>
          <w:i w:val="0"/>
          <w:iCs w:val="0"/>
          <w:lang w:eastAsia="en-US"/>
        </w:rPr>
        <w:t>Estas dimensiones, nos refleja</w:t>
      </w:r>
      <w:r>
        <w:rPr>
          <w:rFonts w:hint="default"/>
          <w:i w:val="0"/>
          <w:iCs w:val="0"/>
          <w:lang w:eastAsia="en-US"/>
        </w:rPr>
        <w:t>n</w:t>
      </w:r>
      <w:r>
        <w:rPr>
          <w:rFonts w:hint="default"/>
          <w:i w:val="0"/>
          <w:iCs w:val="0"/>
          <w:lang w:eastAsia="en-US"/>
        </w:rPr>
        <w:t xml:space="preserve"> la intensidad del volumen de llamadas por series de tiempo (cada hora del día). De esta manera podemos separar el análisis en dos franjas horarias, que impíricamente podemos detectar como comerciales o residenciales. Por ejemplo</w:t>
      </w:r>
      <w:r>
        <w:rPr>
          <w:rFonts w:hint="default"/>
          <w:i w:val="0"/>
          <w:iCs w:val="0"/>
          <w:lang w:eastAsia="en-US"/>
        </w:rPr>
        <w:t>,</w:t>
      </w:r>
      <w:r>
        <w:rPr>
          <w:rFonts w:hint="default"/>
          <w:i w:val="0"/>
          <w:iCs w:val="0"/>
          <w:lang w:eastAsia="en-US"/>
        </w:rPr>
        <w:t xml:space="preserve"> en </w:t>
      </w:r>
      <w:r>
        <w:rPr>
          <w:rFonts w:hint="default"/>
          <w:i w:val="0"/>
          <w:iCs w:val="0"/>
          <w:lang w:eastAsia="en-US"/>
        </w:rPr>
        <w:t>á</w:t>
      </w:r>
      <w:r>
        <w:rPr>
          <w:rFonts w:hint="default"/>
          <w:i w:val="0"/>
          <w:iCs w:val="0"/>
          <w:lang w:eastAsia="en-US"/>
        </w:rPr>
        <w:t>rea</w:t>
      </w:r>
      <w:r>
        <w:rPr>
          <w:rFonts w:hint="default"/>
          <w:i w:val="0"/>
          <w:iCs w:val="0"/>
          <w:lang w:eastAsia="en-US"/>
        </w:rPr>
        <w:t>s</w:t>
      </w:r>
      <w:r>
        <w:rPr>
          <w:rFonts w:hint="default"/>
          <w:i w:val="0"/>
          <w:iCs w:val="0"/>
          <w:lang w:eastAsia="en-US"/>
        </w:rPr>
        <w:t xml:space="preserve"> con alta actividad durante el día (6:00 AM a 5 PM) </w:t>
      </w:r>
      <w:r>
        <w:rPr>
          <w:rFonts w:hint="default"/>
          <w:i w:val="0"/>
          <w:iCs w:val="0"/>
          <w:lang w:eastAsia="en-US"/>
        </w:rPr>
        <w:t>y</w:t>
      </w:r>
      <w:r>
        <w:rPr>
          <w:rFonts w:hint="default"/>
          <w:i w:val="0"/>
          <w:iCs w:val="0"/>
          <w:lang w:eastAsia="en-US"/>
        </w:rPr>
        <w:t xml:space="preserve"> </w:t>
      </w:r>
      <w:r>
        <w:rPr>
          <w:rFonts w:hint="default"/>
          <w:i w:val="0"/>
          <w:iCs w:val="0"/>
          <w:lang w:eastAsia="en-US"/>
        </w:rPr>
        <w:t xml:space="preserve">en </w:t>
      </w:r>
      <w:r>
        <w:rPr>
          <w:rFonts w:hint="default"/>
          <w:i w:val="0"/>
          <w:iCs w:val="0"/>
          <w:lang w:eastAsia="en-US"/>
        </w:rPr>
        <w:t>días laborales (Lunes a Viernes) muy probablemente pertenecería</w:t>
      </w:r>
      <w:r>
        <w:rPr>
          <w:rFonts w:hint="default"/>
          <w:i w:val="0"/>
          <w:iCs w:val="0"/>
          <w:lang w:eastAsia="en-US"/>
        </w:rPr>
        <w:t>n</w:t>
      </w:r>
      <w:r>
        <w:rPr>
          <w:rFonts w:hint="default"/>
          <w:i w:val="0"/>
          <w:iCs w:val="0"/>
          <w:lang w:eastAsia="en-US"/>
        </w:rPr>
        <w:t xml:space="preserve"> al tipo comercial. Por otro lado, áreas con alta activdad durante la noche (6:00 PM a 11:</w:t>
      </w:r>
      <w:bookmarkStart w:id="2" w:name="_GoBack"/>
      <w:bookmarkEnd w:id="2"/>
      <w:r>
        <w:rPr>
          <w:rFonts w:hint="default"/>
          <w:i w:val="0"/>
          <w:iCs w:val="0"/>
          <w:lang w:eastAsia="en-US"/>
        </w:rPr>
        <w:t xml:space="preserve">00 PM) y fines de semana (Sábados a Domingos) encajarían mejor en el tipo de </w:t>
      </w:r>
      <w:r>
        <w:rPr>
          <w:rFonts w:hint="default"/>
          <w:i w:val="0"/>
          <w:iCs w:val="0"/>
          <w:lang w:eastAsia="en-US"/>
        </w:rPr>
        <w:t>á</w:t>
      </w:r>
      <w:r>
        <w:rPr>
          <w:rFonts w:hint="default"/>
          <w:i w:val="0"/>
          <w:iCs w:val="0"/>
          <w:lang w:eastAsia="en-US"/>
        </w:rPr>
        <w:t>rea</w:t>
      </w:r>
      <w:r>
        <w:rPr>
          <w:rFonts w:hint="default"/>
          <w:i w:val="0"/>
          <w:iCs w:val="0"/>
          <w:lang w:eastAsia="en-US"/>
        </w:rPr>
        <w:t>s</w:t>
      </w:r>
      <w:r>
        <w:rPr>
          <w:rFonts w:hint="default"/>
          <w:i w:val="0"/>
          <w:iCs w:val="0"/>
          <w:lang w:eastAsia="en-US"/>
        </w:rPr>
        <w:t xml:space="preserve"> residencial</w:t>
      </w:r>
      <w:r>
        <w:rPr>
          <w:rFonts w:hint="default"/>
          <w:i w:val="0"/>
          <w:iCs w:val="0"/>
          <w:lang w:eastAsia="en-US"/>
        </w:rPr>
        <w:t>es</w:t>
      </w:r>
      <w:r>
        <w:rPr>
          <w:rFonts w:hint="default"/>
          <w:i w:val="0"/>
          <w:iCs w:val="0"/>
          <w:lang w:eastAsia="en-US"/>
        </w:rPr>
        <w:t>.</w:t>
      </w:r>
    </w:p>
    <w:p>
      <w:pPr>
        <w:pStyle w:val="2"/>
        <w:bidi w:val="0"/>
        <w:rPr>
          <w:rFonts w:hint="default"/>
          <w:lang w:eastAsia="en-US"/>
        </w:rPr>
      </w:pPr>
      <w:bookmarkStart w:id="1" w:name="_Toc598586461"/>
      <w:r>
        <w:rPr>
          <w:rFonts w:hint="default"/>
          <w:lang w:eastAsia="en-US"/>
        </w:rPr>
        <w:t>2. Referencias</w:t>
      </w:r>
      <w:bookmarkEnd w:id="1"/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Huina Mao, Yong-Yeol Ahn, Budhendra Bhaduri &amp; Gautam Thakur (2017) </w:t>
      </w:r>
      <w:r>
        <w:rPr>
          <w:rFonts w:hint="default"/>
          <w:i/>
          <w:iCs/>
          <w:lang w:eastAsia="en-US"/>
        </w:rPr>
        <w:t>Improving land use inference by factorizing mobile phone call activity matrix</w:t>
      </w:r>
      <w:r>
        <w:rPr>
          <w:rFonts w:hint="default"/>
          <w:lang w:eastAsia="en-US"/>
        </w:rPr>
        <w:t xml:space="preserve">, Journal of Land Use Science, 12:2-3, 138-153, DOI: </w:t>
      </w:r>
      <w:r>
        <w:rPr>
          <w:rFonts w:hint="default"/>
          <w:u w:val="single"/>
          <w:lang w:eastAsia="en-US"/>
        </w:rPr>
        <w:t>10.1080/1747423X.2017.1303546</w:t>
      </w:r>
    </w:p>
    <w:sectPr>
      <w:pgSz w:w="11906" w:h="16838"/>
      <w:pgMar w:top="1417" w:right="1417" w:bottom="1417" w:left="2097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ira Sans Book">
    <w:panose1 w:val="020B0503050000020004"/>
    <w:charset w:val="00"/>
    <w:family w:val="auto"/>
    <w:pitch w:val="default"/>
    <w:sig w:usb0="600002FF" w:usb1="00000001" w:usb2="00000000" w:usb3="00000000" w:csb0="200001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F807"/>
    <w:multiLevelType w:val="singleLevel"/>
    <w:tmpl w:val="ABFFF8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726DC"/>
    <w:rsid w:val="35F726DC"/>
    <w:rsid w:val="37EE1866"/>
    <w:rsid w:val="5EFC9D3A"/>
    <w:rsid w:val="6B3FAA33"/>
    <w:rsid w:val="6DFB040F"/>
    <w:rsid w:val="6FBB7695"/>
    <w:rsid w:val="759E9A19"/>
    <w:rsid w:val="7F472E14"/>
    <w:rsid w:val="933390D8"/>
    <w:rsid w:val="CF4F0D9B"/>
    <w:rsid w:val="FF7BA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Times New Roman" w:hAnsi="Times New Roman" w:eastAsia="Times New Roman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Times New Roman"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Times New Roman"/>
      <w:i/>
      <w:sz w:val="28"/>
    </w:rPr>
  </w:style>
  <w:style w:type="character" w:default="1" w:styleId="5">
    <w:name w:val="Default Paragraph Font"/>
    <w:link w:val="6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link w:val="5"/>
    <w:uiPriority w:val="0"/>
  </w:style>
  <w:style w:type="paragraph" w:styleId="8">
    <w:name w:val="Body Text 2"/>
    <w:basedOn w:val="1"/>
    <w:uiPriority w:val="0"/>
    <w:pPr>
      <w:spacing w:line="360" w:lineRule="auto"/>
    </w:pPr>
    <w:rPr>
      <w:rFonts w:hint="eastAsia"/>
      <w:sz w:val="2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hint="eastAsia"/>
      <w:sz w:val="18"/>
    </w:rPr>
  </w:style>
  <w:style w:type="character" w:styleId="10">
    <w:name w:val="page number"/>
    <w:basedOn w:val="5"/>
    <w:uiPriority w:val="0"/>
    <w:rPr>
      <w:rFonts w:hint="default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opt/kingsoft/wps-office/office6/mui/en_US/templates/wps/Education/Seminar%20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 Report.wpt</Template>
  <Pages>9</Pages>
  <Words>699</Words>
  <Characters>3653</Characters>
  <Lines>35</Lines>
  <Paragraphs>9</Paragraphs>
  <TotalTime>6</TotalTime>
  <ScaleCrop>false</ScaleCrop>
  <LinksUpToDate>false</LinksUpToDate>
  <CharactersWithSpaces>4328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2021-05-18T03:02:00Z</dcterms:created>
  <dc:creator>cardor</dc:creator>
  <cp:lastModifiedBy>cardor</cp:lastModifiedBy>
  <dcterms:modified xsi:type="dcterms:W3CDTF">2021-05-18T10:02:23Z</dcterms:modified>
  <dc:title>Seminar Report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