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Titan</w:t>
      </w:r>
      <w:r>
        <w:t xml:space="preserve"> </w:t>
      </w:r>
      <w:r>
        <w:t xml:space="preserve">Haze</w:t>
      </w:r>
      <w:r>
        <w:t xml:space="preserve"> </w:t>
      </w:r>
      <w:r>
        <w:t xml:space="preserve">Paper</w:t>
      </w:r>
    </w:p>
    <w:p>
      <w:pPr>
        <w:pStyle w:val="Author"/>
      </w:pPr>
      <w:r>
        <w:t xml:space="preserve">cihat</w:t>
      </w:r>
      <w:r>
        <w:t xml:space="preserve"> </w:t>
      </w:r>
      <w:r>
        <w:t xml:space="preserve">kurt</w:t>
      </w:r>
    </w:p>
    <w:p>
      <w:pPr>
        <w:pStyle w:val="Heading1"/>
      </w:pPr>
      <w:bookmarkStart w:id="21" w:name="the-final-report"/>
      <w:bookmarkEnd w:id="21"/>
      <w:r>
        <w:t xml:space="preserve">The Final Report</w:t>
      </w:r>
    </w:p>
    <w:p>
      <w:pPr>
        <w:pStyle w:val="FirstParagraph"/>
      </w:pPr>
      <w:r>
        <w:t xml:space="preserve">I searched for the best-fitting phase functions among</w:t>
      </w:r>
      <w:r>
        <w:t xml:space="preserve"> </w:t>
      </w:r>
      <w:r>
        <w:t xml:space="preserve">nearly</w:t>
      </w:r>
      <m:oMath>
        <m:r>
          <m:t>5</m:t>
        </m:r>
        <m: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model runs using an automated algorithm. The</w:t>
      </w:r>
      <w:r>
        <w:t xml:space="preserve"> </w:t>
      </w:r>
      <w:r>
        <w:t xml:space="preserve">algorithm determines different constraints for each altitude and finds</w:t>
      </w:r>
      <w:r>
        <w:t xml:space="preserve"> </w:t>
      </w:r>
      <w:r>
        <w:t xml:space="preserve">two parameter ranges for each wavelength channel (one for each</w:t>
      </w:r>
      <w:r>
        <w:t xml:space="preserve"> </w:t>
      </w:r>
      <w:r>
        <w:t xml:space="preserve">altitude). It obtains the constraints from the maximum polarization, the</w:t>
      </w:r>
      <w:r>
        <w:t xml:space="preserve"> </w:t>
      </w:r>
      <w:r>
        <w:t xml:space="preserve">phase function at the forward scattering angles and the single</w:t>
      </w:r>
      <w:r>
        <w:t xml:space="preserve"> </w:t>
      </w:r>
      <w:r>
        <w:t xml:space="preserve">scattering albedo (SSA or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) by comparing the model</w:t>
      </w:r>
      <w:r>
        <w:t xml:space="preserve"> </w:t>
      </w:r>
      <w:r>
        <w:t xml:space="preserve">aggregates to the observations. Then based on the mean square error</w:t>
      </w:r>
      <w:r>
        <w:t xml:space="preserve"> </w:t>
      </w:r>
      <w:r>
        <w:t xml:space="preserve">(MSE) the algorithm decides whether a model aggregate fits to the</w:t>
      </w:r>
      <w:r>
        <w:t xml:space="preserve"> </w:t>
      </w:r>
      <w:r>
        <w:t xml:space="preserve">observations. As for the values of the phase functions at backscattering</w:t>
      </w:r>
      <w:r>
        <w:t xml:space="preserve"> </w:t>
      </w:r>
      <w:r>
        <w:t xml:space="preserve">angles (</w:t>
      </w:r>
      <m:oMath>
        <m:r>
          <m:t>ν</m:t>
        </m:r>
        <m:r>
          <m:t>≥</m:t>
        </m:r>
        <m:r>
          <m:t>75</m:t>
        </m:r>
        <m:r>
          <m:t> </m:t>
        </m:r>
      </m:oMath>
      <w:r>
        <w:t xml:space="preserve">), the code checks the MSE and makes two</w:t>
      </w:r>
      <w:r>
        <w:t xml:space="preserve"> </w:t>
      </w:r>
      <w:r>
        <w:t xml:space="preserve">sample Anderson-Darling (AD) test to compare the curves of phase</w:t>
      </w:r>
      <w:r>
        <w:t xml:space="preserve"> </w:t>
      </w:r>
      <w:r>
        <w:t xml:space="preserve">functions at these angles. Then based on the MSE and the p-values of the</w:t>
      </w:r>
      <w:r>
        <w:t xml:space="preserve"> </w:t>
      </w:r>
      <w:r>
        <w:t xml:space="preserve">AD test the model aggregates are either decided to match the DISR phase</w:t>
      </w:r>
      <w:r>
        <w:t xml:space="preserve"> </w:t>
      </w:r>
      <w:r>
        <w:t xml:space="preserve">function or not. AD test provides a quantitative</w:t>
      </w:r>
      <w:r>
        <w:t xml:space="preserve"> </w:t>
      </w:r>
      <w:r>
        <w:rPr>
          <w:b/>
        </w:rPr>
        <w:t xml:space="preserve">measure</w:t>
      </w:r>
      <w:r>
        <w:t xml:space="preserve"> </w:t>
      </w:r>
      <w:r>
        <w:t xml:space="preserve">for</w:t>
      </w:r>
      <w:r>
        <w:t xml:space="preserve"> </w:t>
      </w:r>
      <w:r>
        <w:t xml:space="preserve">how much the shapes of the phase functions being compared resemble each</w:t>
      </w:r>
      <w:r>
        <w:t xml:space="preserve"> </w:t>
      </w:r>
      <w:r>
        <w:t xml:space="preserve">other as well as how close the individual points on the curves in</w:t>
      </w:r>
      <w:r>
        <w:t xml:space="preserve"> </w:t>
      </w:r>
      <w:r>
        <w:t xml:space="preserve">average.</w:t>
      </w:r>
    </w:p>
    <w:p>
      <w:pPr>
        <w:pStyle w:val="BodyText"/>
      </w:pPr>
      <w:r>
        <w:rPr>
          <w:b/>
        </w:rPr>
        <w:t xml:space="preserve">Even though I adopted a single phase function throughout the</w:t>
      </w:r>
      <w:r>
        <w:rPr>
          <w:b/>
        </w:rPr>
        <w:t xml:space="preserve"> </w:t>
      </w:r>
      <w:r>
        <w:rPr>
          <w:b/>
        </w:rPr>
        <w:t xml:space="preserve">atmosphere for each channel, SSA observations provide constraints on the</w:t>
      </w:r>
      <w:r>
        <w:rPr>
          <w:b/>
        </w:rPr>
        <w:t xml:space="preserve"> </w:t>
      </w:r>
      <w:r>
        <w:rPr>
          <w:b/>
        </w:rPr>
        <w:t xml:space="preserve">refractive index at two altitudes</w:t>
      </w:r>
      <w:r>
        <w:t xml:space="preserve"> </w:t>
      </w:r>
      <w:r>
        <w:t xml:space="preserve">. Therefore, for each layer, a unique</w:t>
      </w:r>
      <w:r>
        <w:t xml:space="preserve"> </w:t>
      </w:r>
      <w:r>
        <w:t xml:space="preserve">parameter ranges can be found by simply selecting the model aggregates</w:t>
      </w:r>
      <w:r>
        <w:t xml:space="preserve"> </w:t>
      </w:r>
      <w:r>
        <w:t xml:space="preserve">which agree with all three observations (SSA, phase function, linear</w:t>
      </w:r>
      <w:r>
        <w:t xml:space="preserve"> </w:t>
      </w:r>
      <w:r>
        <w:t xml:space="preserve">polarization). Besides, the phase function also constraints the</w:t>
      </w:r>
      <w:r>
        <w:t xml:space="preserve"> </w:t>
      </w:r>
      <w:r>
        <w:t xml:space="preserve">refractive index.</w:t>
      </w:r>
    </w:p>
    <w:p>
      <w:pPr>
        <w:pStyle w:val="BodyText"/>
      </w:pPr>
      <w:r>
        <w:drawing>
          <wp:inline>
            <wp:extent cx="1186800" cy="3540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1/imag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800" cy="3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shown in</w:t>
      </w:r>
      <w:r>
        <w:t xml:space="preserve"> </w:t>
      </w:r>
      <w:r>
        <w:rPr>
          <w:b/>
        </w:rPr>
        <w:t xml:space="preserve">Figure x</w:t>
      </w:r>
      <w:r>
        <w:t xml:space="preserve"> </w:t>
      </w:r>
      <w:r>
        <w:t xml:space="preserve">,</w:t>
      </w:r>
      <w:r>
        <w:t xml:space="preserve"> </w:t>
      </w:r>
      <w:r>
        <w:rPr>
          <w:b/>
        </w:rPr>
        <w:t xml:space="preserve">Figure</w:t>
      </w:r>
      <w:r>
        <w:t xml:space="preserve"> </w:t>
      </w:r>
      <w:r>
        <w:rPr>
          <w:b/>
        </w:rPr>
        <w:t xml:space="preserve">y and Figure</w:t>
      </w:r>
      <w:r>
        <w:rPr>
          <w:b/>
        </w:rPr>
        <w:t xml:space="preserve"> </w:t>
      </w:r>
      <w:r>
        <w:rPr>
          <w:b/>
        </w:rPr>
        <w:t xml:space="preserve">z</w:t>
      </w:r>
      <w:r>
        <w:t xml:space="preserve">while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mostly constrained by the phase function,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is constrained mostly by SSA except that the phase</w:t>
      </w:r>
      <w:r>
        <w:t xml:space="preserve"> </w:t>
      </w:r>
      <w:r>
        <w:t xml:space="preserve">function in the blue channel also strongly correlated with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suggesting strong absorption.</w:t>
      </w:r>
    </w:p>
    <w:p>
      <w:pPr>
        <w:pStyle w:val="BodyText"/>
      </w:pPr>
      <w:r>
        <w:drawing>
          <wp:inline>
            <wp:extent cx="1200000" cy="3612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2/image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000" cy="36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constraints on the refractive index from the phase functions agree</w:t>
      </w:r>
      <w:r>
        <w:t xml:space="preserve"> </w:t>
      </w:r>
      <w:r>
        <w:t xml:space="preserve">with the constraints from SSA except that blue-phase function suggests</w:t>
      </w:r>
      <w:r>
        <w:t xml:space="preserve"> </w:t>
      </w:r>
      <w:r>
        <w:t xml:space="preserve">larger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than the SSA measurement does in the blue</w:t>
      </w:r>
      <w:r>
        <w:t xml:space="preserve"> </w:t>
      </w:r>
      <w:r>
        <w:t xml:space="preserve">channel 80 km altitude. The algorithm finds almost no model that passes</w:t>
      </w:r>
      <w:r>
        <w:t xml:space="preserve"> </w:t>
      </w:r>
      <w:r>
        <w:t xml:space="preserve">all the filters at 80 km in the Blue channel without allowing at least</w:t>
      </w:r>
      <w:r>
        <w:t xml:space="preserve"> </w:t>
      </w:r>
      <w:r>
        <w:t xml:space="preserve">10% error in SSA or more than 20% error in the phase function at the</w:t>
      </w:r>
      <w:r>
        <w:t xml:space="preserve"> </w:t>
      </w:r>
      <w:r>
        <w:t xml:space="preserve">backscattering angles. This could be due to the error in SSA observation</w:t>
      </w:r>
      <w:r>
        <w:t xml:space="preserve"> </w:t>
      </w:r>
      <w:r>
        <w:t xml:space="preserve">or the blue phase function at this level given in the DISR model. In the</w:t>
      </w:r>
      <w:r>
        <w:t xml:space="preserve"> </w:t>
      </w:r>
      <w:r>
        <w:t xml:space="preserve">DISR model, both in the original (Tomasko et al., 2008) and revised</w:t>
      </w:r>
      <w:r>
        <w:t xml:space="preserve"> </w:t>
      </w:r>
      <w:r>
        <w:t xml:space="preserve">version (Doose et al., 2016), blue phase function is constant throughout</w:t>
      </w:r>
      <w:r>
        <w:t xml:space="preserve"> </w:t>
      </w:r>
      <w:r>
        <w:t xml:space="preserve">the atmosphere while the SSA is changing. It has been suggested</w:t>
      </w:r>
      <w:r>
        <w:t xml:space="preserve"> </w:t>
      </w:r>
      <w:r>
        <w:t xml:space="preserve">by Tomasko et al. (2008) and Doose et al. (2016) that some condensation</w:t>
      </w:r>
      <w:r>
        <w:t xml:space="preserve"> </w:t>
      </w:r>
      <w:r>
        <w:t xml:space="preserve">at the aerosol surface occurs in the lower atmosphere resulting in a</w:t>
      </w:r>
      <w:r>
        <w:t xml:space="preserve"> </w:t>
      </w:r>
      <w:r>
        <w:t xml:space="preserve">decrease in absorption while keeping the phase function relatively</w:t>
      </w:r>
      <w:r>
        <w:t xml:space="preserve"> </w:t>
      </w:r>
      <w:r>
        <w:t xml:space="preserve">constant.</w:t>
      </w:r>
    </w:p>
    <w:p>
      <w:pPr>
        <w:pStyle w:val="BodyText"/>
      </w:pPr>
      <w:r>
        <w:t xml:space="preserve">On the other hand, the fact that our model does not produce any aerosol</w:t>
      </w:r>
      <w:r>
        <w:t xml:space="preserve"> </w:t>
      </w:r>
      <w:r>
        <w:t xml:space="preserve">matching all the constraints within 5% accuracy might suggest that</w:t>
      </w:r>
      <w:r>
        <w:t xml:space="preserve"> </w:t>
      </w:r>
      <w:r>
        <w:t xml:space="preserve">constant phase functions throughout the atmosphere might not be an</w:t>
      </w:r>
      <w:r>
        <w:t xml:space="preserve"> </w:t>
      </w:r>
      <w:r>
        <w:t xml:space="preserve">accurate representation of reality. Likewise, the SSA measurements at 80</w:t>
      </w:r>
      <w:r>
        <w:t xml:space="preserve"> </w:t>
      </w:r>
      <w:r>
        <w:t xml:space="preserve">km strongly suggest that the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 are considerably</w:t>
      </w:r>
      <w:r>
        <w:t xml:space="preserve"> </w:t>
      </w:r>
      <w:r>
        <w:t xml:space="preserve">smaller (</w:t>
      </w:r>
      <w:r>
        <w:rPr>
          <w:b/>
        </w:rPr>
        <w:t xml:space="preserve">Figure xx)</w:t>
      </w:r>
      <w:r>
        <w:t xml:space="preserve"> </w:t>
      </w:r>
      <w:r>
        <w:t xml:space="preserve">than what the phase function suggests in</w:t>
      </w:r>
      <w:r>
        <w:t xml:space="preserve"> </w:t>
      </w:r>
      <w:r>
        <w:t xml:space="preserve">the blue channel (</w:t>
      </w:r>
      <w:r>
        <w:rPr>
          <w:b/>
        </w:rPr>
        <w:t xml:space="preserve">Figure 1</w:t>
      </w:r>
      <w:r>
        <w:t xml:space="preserve"> </w:t>
      </w:r>
      <w:r>
        <w:t xml:space="preserve">). Perhaps, the condensing particles</w:t>
      </w:r>
      <w:r>
        <w:t xml:space="preserve"> </w:t>
      </w:r>
      <w:r>
        <w:t xml:space="preserve">on the aggregate’s surface not only change the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w:r>
        <w:t xml:space="preserve">also the phase function of the haze particles. (</w:t>
      </w:r>
      <w:r>
        <w:rPr>
          <w:b/>
        </w:rPr>
        <w:t xml:space="preserve">Give an example</w:t>
      </w:r>
      <w:r>
        <w:rPr>
          <w:b/>
        </w:rPr>
        <w:t xml:space="preserve"> </w:t>
      </w:r>
      <w:r>
        <w:rPr>
          <w:b/>
        </w:rPr>
        <w:t xml:space="preserve">from brown and black carbon, freshly produced and aged one).</w:t>
      </w:r>
      <w:r>
        <w:t xml:space="preserve"> </w:t>
      </w:r>
      <w:r>
        <w:t xml:space="preserve">However,</w:t>
      </w:r>
      <w:r>
        <w:t xml:space="preserve"> </w:t>
      </w:r>
      <w:r>
        <w:t xml:space="preserve">It is still possible that the new parameterization might also be the</w:t>
      </w:r>
      <w:r>
        <w:t xml:space="preserve"> </w:t>
      </w:r>
      <w:r>
        <w:t xml:space="preserve">source of this apparent disagreement,</w:t>
      </w:r>
      <w:r>
        <w:t xml:space="preserve"> </w:t>
      </w:r>
      <w:r>
        <w:rPr>
          <w:b/>
        </w:rPr>
        <w:t xml:space="preserve">or the SSA measurement may</w:t>
      </w:r>
      <w:r>
        <w:rPr>
          <w:b/>
        </w:rPr>
        <w:t xml:space="preserve"> </w:t>
      </w:r>
      <w:r>
        <w:rPr>
          <w:b/>
        </w:rPr>
        <w:t xml:space="preserve">not be accurate at 80 km in the blue channel.</w:t>
      </w:r>
    </w:p>
    <w:p>
      <w:pPr>
        <w:pStyle w:val="BodyText"/>
      </w:pPr>
      <w:r>
        <w:drawing>
          <wp:inline>
            <wp:extent cx="1213200" cy="3396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3/image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200" cy="33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Due to this</w:t>
      </w:r>
      <w:r>
        <w:t xml:space="preserve"> </w:t>
      </w:r>
      <w:r>
        <w:rPr>
          <w:b/>
        </w:rPr>
        <w:t xml:space="preserve">disagreement between the constraints from the phase</w:t>
      </w:r>
      <w:r>
        <w:rPr>
          <w:b/>
        </w:rPr>
        <w:t xml:space="preserve"> </w:t>
      </w:r>
      <w:r>
        <w:rPr>
          <w:b/>
        </w:rPr>
        <w:t xml:space="preserve">function and the SSA measurements in the blue channel, at 80 Km</w:t>
      </w:r>
      <w:r>
        <w:rPr>
          <w:b/>
        </w:rPr>
        <w:t xml:space="preserve"> </w:t>
      </w:r>
      <w:r>
        <w:rPr>
          <w:b/>
        </w:rPr>
        <w:t xml:space="preserve">altitude,</w:t>
      </w:r>
      <w:r>
        <w:t xml:space="preserve"> </w:t>
      </w:r>
      <w:r>
        <w:t xml:space="preserve">I applied a slightly different method to determine the</w:t>
      </w:r>
      <w:r>
        <w:t xml:space="preserve"> </w:t>
      </w:r>
      <w:r>
        <w:t xml:space="preserve">constraints for this particular case. In this method, the algorithm</w:t>
      </w:r>
      <w:r>
        <w:t xml:space="preserve"> </w:t>
      </w:r>
      <w:r>
        <w:t xml:space="preserve">first finds the monomer number and the size ranges from the DISR phase</w:t>
      </w:r>
      <w:r>
        <w:t xml:space="preserve"> </w:t>
      </w:r>
      <w:r>
        <w:t xml:space="preserve">functions and the maximum polarization without yet comparing</w:t>
      </w:r>
      <w:r>
        <w:t xml:space="preserve"> </w:t>
      </w:r>
      <w:r>
        <w:t xml:space="preserve">the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values. Next, inside the aggregate size range</w:t>
      </w:r>
      <w:r>
        <w:t xml:space="preserve"> </w:t>
      </w:r>
      <w:r>
        <w:t xml:space="preserve">(</w:t>
      </w:r>
      <m:oMath>
        <m:r>
          <m:rPr>
            <m:sty m:val="p"/>
          </m:rPr>
          <m:t>N and 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) it determines the range of refractive index from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t> </m:t>
        </m:r>
      </m:oMath>
      <w:r>
        <w:t xml:space="preserve">measurements within the 5% error limit. As a</w:t>
      </w:r>
      <w:r>
        <w:t xml:space="preserve"> </w:t>
      </w:r>
      <w:r>
        <w:t xml:space="preserve">result, the constraints from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semi-independent from</w:t>
      </w:r>
      <w:r>
        <w:t xml:space="preserve"> </w:t>
      </w:r>
      <w:r>
        <w:t xml:space="preserve">the backscattering values of the phase function but not from the values</w:t>
      </w:r>
      <w:r>
        <w:t xml:space="preserve"> </w:t>
      </w:r>
      <w:r>
        <w:t xml:space="preserve">of the forward angles of the phase function and the maximum</w:t>
      </w:r>
      <w:r>
        <w:t xml:space="preserve"> </w:t>
      </w:r>
      <w:r>
        <w:t xml:space="preserve">polarization, which are still set to fit within 5% limit as they are</w:t>
      </w:r>
      <w:r>
        <w:t xml:space="preserve"> </w:t>
      </w:r>
      <w:r>
        <w:t xml:space="preserve">the only direct measurements apart from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Table 1 and figure 2 &amp; 3 summarizes the parameters of the haze</w:t>
      </w:r>
      <w:r>
        <w:t xml:space="preserve"> </w:t>
      </w:r>
      <w:r>
        <w:t xml:space="preserve">particles. Constraints from the same channel provide the same parameter</w:t>
      </w:r>
      <w:r>
        <w:t xml:space="preserve"> </w:t>
      </w:r>
      <w:r>
        <w:t xml:space="preserve">range at each altitude except for the imaginary part of the refractive</w:t>
      </w:r>
      <w:r>
        <w:t xml:space="preserve"> </w:t>
      </w:r>
      <w:r>
        <w:t xml:space="preserve">index. This is consistent with the observation as the SSA measurements</w:t>
      </w:r>
      <w:r>
        <w:t xml:space="preserve"> </w:t>
      </w:r>
      <w:r>
        <w:t xml:space="preserve">imply that more absorbing particles are found at higher altitudes while</w:t>
      </w:r>
      <w:r>
        <w:t xml:space="preserve"> </w:t>
      </w:r>
      <w:r>
        <w:t xml:space="preserve">the size of the aggregates is somewhat constant.</w:t>
      </w:r>
    </w:p>
    <w:p>
      <w:pPr>
        <w:pStyle w:val="BodyText"/>
      </w:pPr>
      <w:r>
        <w:t xml:space="preserve">Monomer size ranges found from each channel are consistent and about the</w:t>
      </w:r>
      <w:r>
        <w:t xml:space="preserve"> </w:t>
      </w:r>
      <w:r>
        <w:t xml:space="preserve">same at each altitude. On the other hand, at a given altitude, the</w:t>
      </w:r>
      <w:r>
        <w:t xml:space="preserve"> </w:t>
      </w:r>
      <w:r>
        <w:t xml:space="preserve">ranges of monomer number (</w:t>
      </w:r>
      <m:oMath>
        <m:r>
          <m:t>N</m:t>
        </m:r>
      </m:oMath>
      <w:r>
        <w:t xml:space="preserve">) differ depending on which</w:t>
      </w:r>
      <w:r>
        <w:t xml:space="preserve"> </w:t>
      </w:r>
      <w:r>
        <w:t xml:space="preserve">channel they are calculated from. As seen in</w:t>
      </w:r>
      <w:r>
        <w:t xml:space="preserve"> </w:t>
      </w:r>
      <w:r>
        <w:rPr>
          <w:b/>
        </w:rPr>
        <w:t xml:space="preserve">Figure x and Figure</w:t>
      </w:r>
      <w:r>
        <w:rPr>
          <w:b/>
        </w:rPr>
        <w:t xml:space="preserve"> </w:t>
      </w:r>
      <w:r>
        <w:rPr>
          <w:b/>
        </w:rPr>
        <w:t xml:space="preserve">y</w:t>
      </w:r>
      <w:r>
        <w:t xml:space="preserve"> </w:t>
      </w:r>
      <w:r>
        <w:t xml:space="preserve">, the range of monomer numbers in aggregates that fits the</w:t>
      </w:r>
      <w:r>
        <w:t xml:space="preserve"> </w:t>
      </w:r>
      <w:r>
        <w:t xml:space="preserve">observations is shifted upward in the Red channel comparing to those</w:t>
      </w:r>
      <w:r>
        <w:t xml:space="preserve"> </w:t>
      </w:r>
      <w:r>
        <w:t xml:space="preserve">obtained in the blue channel. The similar inconsistency between each</w:t>
      </w:r>
      <w:r>
        <w:t xml:space="preserve"> </w:t>
      </w:r>
      <w:r>
        <w:t xml:space="preserve">channel also appears in the overall size of the haze model particles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agg</m:t>
            </m:r>
          </m:sub>
        </m:sSub>
        <m:r>
          <m:t>)</m:t>
        </m:r>
        <m:r>
          <m:t>,</m:t>
        </m:r>
      </m:oMath>
      <w:r>
        <w:t xml:space="preserve"> </w:t>
      </w:r>
      <w:r>
        <w:t xml:space="preserve">especially for the 80 km altitude.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Altitude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N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b"/>
                    </m:rPr>
                    <m:t>m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b"/>
                    </m:rPr>
                    <m:t>r</m:t>
                  </m:r>
                </m:sub>
                <m:sup>
                  <m:r>
                    <m:rPr>
                      <m:sty m:val="b"/>
                    </m:rPr>
                    <m:t>*</m:t>
                  </m:r>
                </m:sup>
              </m:sSub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b"/>
                    </m:rPr>
                    <m:t>i</m:t>
                  </m:r>
                </m:sub>
                <m:sup>
                  <m:r>
                    <m:rPr>
                      <m:sty m:val="b"/>
                    </m:rPr>
                    <m:t>*</m:t>
                  </m:r>
                </m:sup>
              </m:sSubSup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 km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</w:t>
            </w:r>
          </w:p>
        </w:tc>
        <w:tc>
          <w:p>
            <w:pPr>
              <w:pStyle w:val="Compact"/>
              <w:jc w:val="left"/>
            </w:pPr>
            <m:oMath>
              <m:r>
                <m:t>2950</m:t>
              </m:r>
              <m:r>
                <m:t>−</m:t>
              </m:r>
              <m:r>
                <m:t>4700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0.036</m:t>
              </m:r>
              <m:r>
                <m:t>−</m:t>
              </m:r>
              <m:r>
                <m:t>0.045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0.61</m:t>
              </m:r>
              <m:r>
                <m:t>−</m:t>
              </m:r>
              <m:r>
                <m:t>0.65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1.62</m:t>
              </m:r>
              <m:r>
                <m:t>−</m:t>
              </m:r>
              <m:r>
                <m:t>1.83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0.004</m:t>
              </m:r>
              <m:r>
                <m:t>−</m:t>
              </m:r>
              <m:r>
                <m:t>0.022</m:t>
              </m:r>
            </m:oMath>
          </w:p>
        </w:tc>
      </w:tr>
      <w:tr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Blue</w:t>
            </w:r>
          </w:p>
        </w:tc>
        <w:tc>
          <w:p>
            <w:pPr>
              <w:pStyle w:val="Compact"/>
              <w:jc w:val="left"/>
            </w:pPr>
            <m:oMath>
              <m:r>
                <m:t>2200</m:t>
              </m:r>
              <m:r>
                <m:t>−</m:t>
              </m:r>
              <m:r>
                <m:t>3450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0.038</m:t>
              </m:r>
              <m:r>
                <m:t>−</m:t>
              </m:r>
              <m:r>
                <m:t>0.049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0.56</m:t>
              </m:r>
              <m:r>
                <m:t>−</m:t>
              </m:r>
              <m:r>
                <m:t>0.65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1.77</m:t>
              </m:r>
              <m:r>
                <m:t>−</m:t>
              </m:r>
              <m:r>
                <m:t>2.0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0.096</m:t>
              </m:r>
              <m:r>
                <m:t>−</m:t>
              </m:r>
              <m:r>
                <m:t>0.126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</w:t>
            </w:r>
          </w:p>
        </w:tc>
        <w:tc>
          <w:p>
            <w:pPr>
              <w:pStyle w:val="Compact"/>
              <w:jc w:val="left"/>
            </w:pPr>
            <m:oMath>
              <m:r>
                <m:t>2950</m:t>
              </m:r>
              <m:r>
                <m:t>−</m:t>
              </m:r>
              <m:r>
                <m:t>4700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0.036</m:t>
              </m:r>
              <m:r>
                <m:t>−</m:t>
              </m:r>
              <m:r>
                <m:t>0.045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0.61</m:t>
              </m:r>
              <m:r>
                <m:t>−</m:t>
              </m:r>
              <m:r>
                <m:t>0.65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1.62</m:t>
              </m:r>
              <m:r>
                <m:t>−</m:t>
              </m:r>
              <m:r>
                <m:t>1.83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0.0005</m:t>
              </m:r>
              <m:r>
                <m:t>−</m:t>
              </m:r>
              <m:r>
                <m:t>0.008</m:t>
              </m:r>
            </m:oMath>
          </w:p>
        </w:tc>
      </w:tr>
      <w:tr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Blue</w:t>
            </w:r>
          </w:p>
        </w:tc>
        <w:tc>
          <w:p>
            <w:pPr>
              <w:pStyle w:val="Compact"/>
              <w:jc w:val="left"/>
            </w:pPr>
            <m:oMath>
              <m:r>
                <m:t>2200</m:t>
              </m:r>
              <m:r>
                <m:t>−</m:t>
              </m:r>
              <m:r>
                <m:t>3450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0.036</m:t>
              </m:r>
              <m:r>
                <m:t>−</m:t>
              </m:r>
              <m:r>
                <m:t>0.048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0.55</m:t>
              </m:r>
              <m:r>
                <m:t>−</m:t>
              </m:r>
              <m:r>
                <m:t>0.62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1.79</m:t>
              </m:r>
              <m:r>
                <m:t>−</m:t>
              </m:r>
              <m:r>
                <m:t>2.0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0.01</m:t>
              </m:r>
              <m:r>
                <m:t>−</m:t>
              </m:r>
              <m:r>
                <m:t>0.066</m:t>
              </m:r>
            </m:oMath>
          </w:p>
        </w:tc>
      </w:tr>
    </w:tbl>
    <w:p>
      <w:pPr>
        <w:pStyle w:val="BodyText"/>
      </w:pPr>
      <w:r>
        <w:t xml:space="preserve">Table 1 shows the results from all the constraints at each layer and</w:t>
      </w:r>
      <w:r>
        <w:t xml:space="preserve"> </w:t>
      </w:r>
      <w:r>
        <w:t xml:space="preserve">each channel. These results obtained by finding the model-aerosols</w:t>
      </w:r>
      <w:r>
        <w:t xml:space="preserve"> </w:t>
      </w:r>
      <w:r>
        <w:t xml:space="preserve">within 5% accuracy to all the observations (Phase function, maximum</w:t>
      </w:r>
      <w:r>
        <w:t xml:space="preserve"> </w:t>
      </w:r>
      <w:r>
        <w:t xml:space="preserve">polarization, SSA) except at the backscattering an</w:t>
      </w:r>
    </w:p>
    <w:p>
      <w:pPr>
        <w:pStyle w:val="BodyText"/>
      </w:pPr>
      <w:r>
        <w:t xml:space="preserve">Ghfh</w:t>
      </w:r>
    </w:p>
    <w:p>
      <w:pPr>
        <w:pStyle w:val="BodyText"/>
      </w:pPr>
      <w:r>
        <w:drawing>
          <wp:inline>
            <wp:extent cx="1450800" cy="4356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4/image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800" cy="43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</w:t>
      </w:r>
    </w:p>
    <w:p>
      <w:pPr>
        <w:pStyle w:val="BodyText"/>
      </w:pPr>
      <w:r>
        <w:drawing>
          <wp:inline>
            <wp:extent cx="1450800" cy="4356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5/image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800" cy="43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5</w:t>
      </w:r>
    </w:p>
    <w:p>
      <w:pPr>
        <w:pStyle w:val="BodyText"/>
      </w:pPr>
      <w:r>
        <w:rPr>
          <w:b/>
        </w:rPr>
        <w:t xml:space="preserve">Table 2</w:t>
      </w:r>
      <w:r>
        <w:t xml:space="preserve"> </w:t>
      </w:r>
      <w:r>
        <w:t xml:space="preserve">shows the parameters of the haze particle obtained by</w:t>
      </w:r>
      <w:r>
        <w:t xml:space="preserve"> </w:t>
      </w:r>
      <w:r>
        <w:t xml:space="preserve">combining the constraints from both channels except for the refractive</w:t>
      </w:r>
      <w:r>
        <w:t xml:space="preserve"> </w:t>
      </w:r>
      <w:r>
        <w:t xml:space="preserve">index. Two different parameter ranges are calculated for each altitude.</w:t>
      </w:r>
      <w:r>
        <w:t xml:space="preserve"> </w:t>
      </w:r>
      <w:r>
        <w:t xml:space="preserve">One from combining only the intersection of the parameter ranges of the</w:t>
      </w:r>
      <w:r>
        <w:t xml:space="preserve"> </w:t>
      </w:r>
      <w:r>
        <w:t xml:space="preserve">blue and red channel and another is the union of two sets from each</w:t>
      </w:r>
      <w:r>
        <w:t xml:space="preserve"> </w:t>
      </w:r>
      <w:r>
        <w:t xml:space="preserve">channel, labeled as</w:t>
      </w:r>
      <w:r>
        <w:t xml:space="preserve"> </w:t>
      </w:r>
      <w:r>
        <w:rPr>
          <w:i/>
        </w:rPr>
        <w:t xml:space="preserve">Inner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Outer,</w:t>
      </w:r>
      <w:r>
        <w:t xml:space="preserve"> </w:t>
      </w:r>
      <w:r>
        <w:t xml:space="preserve">respectively,</w:t>
      </w:r>
      <w:r>
        <w:t xml:space="preserve"> </w:t>
      </w:r>
      <w:r>
        <w:t xml:space="preserve">in</w:t>
      </w:r>
      <w:r>
        <w:rPr>
          <w:b/>
        </w:rPr>
        <w:t xml:space="preserve">Table 2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Therefore, if we neglect the model aggregates which do not agree with</w:t>
      </w:r>
      <w:r>
        <w:t xml:space="preserve"> </w:t>
      </w:r>
      <w:r>
        <w:t xml:space="preserve">the constraints from both channels (</w:t>
      </w:r>
      <w:r>
        <w:rPr>
          <w:i/>
        </w:rPr>
        <w:t xml:space="preserve">Inner combination),</w:t>
      </w:r>
      <w:r>
        <w:t xml:space="preserve"> </w:t>
      </w:r>
      <w:r>
        <w:t xml:space="preserve">then we</w:t>
      </w:r>
      <w:r>
        <w:t xml:space="preserve"> </w:t>
      </w:r>
      <w:r>
        <w:t xml:space="preserve">find that the haze particles have about</w:t>
      </w:r>
      <w:r>
        <w:t xml:space="preserve"> </w:t>
      </w:r>
      <m:oMath>
        <m:r>
          <m:t>3200</m:t>
        </m:r>
        <m:r>
          <m:t>±</m:t>
        </m:r>
        <m:r>
          <m:t>250</m:t>
        </m:r>
        <m:r>
          <m:t> </m:t>
        </m:r>
      </m:oMath>
      <w:r>
        <w:t xml:space="preserve">monomers each</w:t>
      </w:r>
      <w:r>
        <w:t xml:space="preserve"> </w:t>
      </w:r>
      <w:r>
        <w:t xml:space="preserve">have a radius of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t>=</m:t>
        </m:r>
        <m:r>
          <m:t>0.042</m:t>
        </m:r>
        <m:r>
          <m:t>±</m:t>
        </m:r>
        <m:r>
          <m:t>0.004</m:t>
        </m:r>
      </m:oMath>
      <w:r>
        <w:t xml:space="preserve">. Otherwise accounting all the model</w:t>
      </w:r>
      <w:r>
        <w:t xml:space="preserve"> </w:t>
      </w:r>
      <w:r>
        <w:t xml:space="preserve">aggregates which agree with the constraints from at least one channel</w:t>
      </w:r>
      <w:r>
        <w:t xml:space="preserve"> </w:t>
      </w:r>
      <w:r>
        <w:t xml:space="preserve">(outer combination) suggest that the haze particles have</w:t>
      </w:r>
      <w:r>
        <w:t xml:space="preserve"> </w:t>
      </w:r>
      <w:r>
        <w:t xml:space="preserve">about</w:t>
      </w:r>
      <m:oMath>
        <m:r>
          <m:t>N</m:t>
        </m:r>
        <m:r>
          <m:t>=</m:t>
        </m:r>
        <m:r>
          <m:t>3400</m:t>
        </m:r>
        <m:r>
          <m:t>±</m:t>
        </m:r>
        <m:r>
          <m:t>1300</m:t>
        </m:r>
      </m:oMath>
      <w:r>
        <w:t xml:space="preserve"> </w:t>
      </w:r>
      <w:r>
        <w:t xml:space="preserve">monomers with monomer radius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t>=</m:t>
        </m:r>
        <m:r>
          <m:t>0.042</m:t>
        </m:r>
        <m:r>
          <m:t>±</m:t>
        </m:r>
        <m:r>
          <m:t>0.007</m:t>
        </m:r>
      </m:oMath>
      <w:r>
        <w:t xml:space="preserve">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Altitude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b"/>
                    </m:rPr>
                    <m:t>m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Inner</w:t>
            </w:r>
          </w:p>
        </w:tc>
        <w:tc>
          <w:p>
            <w:pPr>
              <w:pStyle w:val="Compact"/>
              <w:jc w:val="left"/>
            </w:pPr>
            <w:r>
              <w:t xml:space="preserve">200 km</w:t>
            </w:r>
          </w:p>
        </w:tc>
        <w:tc>
          <w:p>
            <w:pPr>
              <w:pStyle w:val="Compact"/>
              <w:jc w:val="left"/>
            </w:pPr>
            <m:oMath>
              <m:r>
                <m:t>2950</m:t>
              </m:r>
              <m:r>
                <m:t>≤</m:t>
              </m:r>
              <m:r>
                <m:t>N</m:t>
              </m:r>
              <m:r>
                <m:t>≤</m:t>
              </m:r>
              <m:r>
                <m:t> </m:t>
              </m:r>
              <m:r>
                <m:t>3450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0.038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t>≤</m:t>
              </m:r>
              <m:r>
                <m:t> </m:t>
              </m:r>
              <m:r>
                <m:t>0.045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0.61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  <m:r>
                <m:t>≤</m:t>
              </m:r>
              <m:r>
                <m:t>0.65</m:t>
              </m:r>
            </m:oMath>
          </w:p>
        </w:tc>
      </w:tr>
      <w:tr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80 km</w:t>
            </w:r>
          </w:p>
        </w:tc>
        <w:tc>
          <w:p>
            <w:pPr>
              <w:pStyle w:val="Compact"/>
              <w:jc w:val="left"/>
            </w:pPr>
            <m:oMath>
              <m:r>
                <m:t>2950</m:t>
              </m:r>
              <m:r>
                <m:t>≤</m:t>
              </m:r>
              <m:r>
                <m:t>N</m:t>
              </m:r>
              <m:r>
                <m:t>≤</m:t>
              </m:r>
              <m:r>
                <m:t> </m:t>
              </m:r>
              <m:r>
                <m:t>3450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0.036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t>≤</m:t>
              </m:r>
              <m:r>
                <m:t> </m:t>
              </m:r>
              <m:r>
                <m:t>0.045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0.61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  <m:r>
                <m:t>≤</m:t>
              </m:r>
              <m:r>
                <m:t>0.62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Outer</w:t>
            </w:r>
          </w:p>
        </w:tc>
        <w:tc>
          <w:p>
            <w:pPr>
              <w:pStyle w:val="Compact"/>
              <w:jc w:val="left"/>
            </w:pPr>
            <w:r>
              <w:t xml:space="preserve">200 km</w:t>
            </w:r>
          </w:p>
        </w:tc>
        <w:tc>
          <w:p>
            <w:pPr>
              <w:pStyle w:val="Compact"/>
              <w:jc w:val="left"/>
            </w:pPr>
            <m:oMath>
              <m:r>
                <m:t>2200</m:t>
              </m:r>
              <m:r>
                <m:t>≤</m:t>
              </m:r>
              <m:r>
                <m:t>N</m:t>
              </m:r>
              <m:r>
                <m:t>≤</m:t>
              </m:r>
              <m:r>
                <m:t> </m:t>
              </m:r>
              <m:r>
                <m:t>4700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0.036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t>≤</m:t>
              </m:r>
              <m:r>
                <m:t> </m:t>
              </m:r>
              <m:r>
                <m:t>0.049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0.56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  <m:r>
                <m:t>≤</m:t>
              </m:r>
              <m:r>
                <m:t>0.65</m:t>
              </m:r>
            </m:oMath>
          </w:p>
        </w:tc>
      </w:tr>
      <w:tr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80 km</w:t>
            </w:r>
          </w:p>
        </w:tc>
        <w:tc>
          <w:p>
            <w:pPr>
              <w:pStyle w:val="Compact"/>
              <w:jc w:val="left"/>
            </w:pPr>
            <m:oMath>
              <m:r>
                <m:t>2200</m:t>
              </m:r>
              <m:r>
                <m:t>≤</m:t>
              </m:r>
              <m:r>
                <m:t>N</m:t>
              </m:r>
              <m:r>
                <m:t>≤</m:t>
              </m:r>
              <m:r>
                <m:t> </m:t>
              </m:r>
              <m:r>
                <m:t>4700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0.036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t>≤</m:t>
              </m:r>
              <m:r>
                <m:t> </m:t>
              </m:r>
              <m:r>
                <m:t>0.048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0.55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  <m:r>
                <m:t>≤</m:t>
              </m:r>
              <m:r>
                <m:t>0.65</m:t>
              </m:r>
            </m:oMath>
          </w:p>
        </w:tc>
      </w:tr>
    </w:tbl>
    <w:p>
      <w:pPr>
        <w:pStyle w:val="BodyText"/>
      </w:pPr>
      <w:r>
        <w:t xml:space="preserve">Table 2 Parameter of Haze related to its size from the combination of</w:t>
      </w:r>
      <w:r>
        <w:t xml:space="preserve"> </w:t>
      </w:r>
      <w:r>
        <w:t xml:space="preserve">constraints in the SA channels. Inner means the parameter ranges</w:t>
      </w:r>
      <w:r>
        <w:t xml:space="preserve"> </w:t>
      </w:r>
      <w:r>
        <w:t xml:space="preserve">combined by the intersection of each channel’s parameter ranges. The</w:t>
      </w:r>
      <w:r>
        <w:t xml:space="preserve"> </w:t>
      </w:r>
      <w:r>
        <w:t xml:space="preserve">outer refers to the combination by the outer edges.</w:t>
      </w:r>
    </w:p>
    <w:p>
      <w:pPr>
        <w:pStyle w:val="BodyText"/>
      </w:pPr>
      <w:r>
        <w:t xml:space="preserve">Figure 5 shows the collection of all the fitting phase functions of the</w:t>
      </w:r>
      <w:r>
        <w:t xml:space="preserve"> </w:t>
      </w:r>
      <w:r>
        <w:t xml:space="preserve">model aggregates within the parameter range given in table 1. All the</w:t>
      </w:r>
      <w:r>
        <w:t xml:space="preserve"> </w:t>
      </w:r>
      <w:r>
        <w:t xml:space="preserve">phase functions that make up the table 2 aggregates have an excellent</w:t>
      </w:r>
      <w:r>
        <w:t xml:space="preserve"> </w:t>
      </w:r>
      <w:r>
        <w:t xml:space="preserve">agreement with the DISR model at all scattering angles for the Red phase</w:t>
      </w:r>
      <w:r>
        <w:t xml:space="preserve"> </w:t>
      </w:r>
      <w:r>
        <w:t xml:space="preserve">function except near the backscattering peak. As for the blue phase</w:t>
      </w:r>
      <w:r>
        <w:t xml:space="preserve"> </w:t>
      </w:r>
      <w:r>
        <w:t xml:space="preserve">functions, there is an apparent bias in the intermediate angles. Perhaps</w:t>
      </w:r>
      <w:r>
        <w:t xml:space="preserve"> </w:t>
      </w:r>
      <w:r>
        <w:t xml:space="preserve">the new parameterization does not extrapolate well at these angles and,</w:t>
      </w:r>
      <w:r>
        <w:t xml:space="preserve"> </w:t>
      </w:r>
      <w:r>
        <w:t xml:space="preserve">therefore, cause such a bias. On the other hand, considering that the</w:t>
      </w:r>
      <w:r>
        <w:t xml:space="preserve"> </w:t>
      </w:r>
      <w:r>
        <w:t xml:space="preserve">DISR phase functions were obtained from the old parameterization model</w:t>
      </w:r>
      <w:r>
        <w:t xml:space="preserve"> </w:t>
      </w:r>
      <w:r>
        <w:t xml:space="preserve">(Tomasko et al., 2008), It is also possible that DISR blue phase</w:t>
      </w:r>
      <w:r>
        <w:t xml:space="preserve"> </w:t>
      </w:r>
      <w:r>
        <w:t xml:space="preserve">function may not be accurate at the intermediate angles, albeit they</w:t>
      </w:r>
      <w:r>
        <w:t xml:space="preserve"> </w:t>
      </w:r>
      <w:r>
        <w:t xml:space="preserve">were also constrained by radiative transfer model to fit the</w:t>
      </w:r>
      <w:r>
        <w:t xml:space="preserve"> </w:t>
      </w:r>
      <w:r>
        <w:t xml:space="preserve">observations. Regardless, the algorithm did not use these intermediate</w:t>
      </w:r>
      <w:r>
        <w:t xml:space="preserve"> </w:t>
      </w:r>
      <w:r>
        <w:t xml:space="preserve">angles in the search for best-fitting parameters.</w:t>
      </w:r>
    </w:p>
    <w:p>
      <w:pPr>
        <w:pStyle w:val="BodyText"/>
      </w:pPr>
      <w:r>
        <w:drawing>
          <wp:inline>
            <wp:extent cx="1207200" cy="48119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6/image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200" cy="48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Among the model runs shown in table 1 and</w:t>
      </w:r>
      <w:r>
        <w:t xml:space="preserve"> </w:t>
      </w:r>
      <w:r>
        <w:rPr>
          <w:b/>
        </w:rPr>
        <w:t xml:space="preserve">fig 3</w:t>
      </w:r>
      <w:r>
        <w:t xml:space="preserve"> </w:t>
      </w:r>
      <w:r>
        <w:t xml:space="preserve">the best</w:t>
      </w:r>
      <w:r>
        <w:t xml:space="preserve"> </w:t>
      </w:r>
      <w:r>
        <w:t xml:space="preserve">aggregate which fits the DISR phase functions, maximum polarization and</w:t>
      </w:r>
      <w:r>
        <w:t xml:space="preserve"> </w:t>
      </w:r>
      <w:r>
        <w:t xml:space="preserve">SSA measurements (above 80km) within %5 error limit</w:t>
      </w:r>
      <w:r>
        <w:t xml:space="preserve"> </w:t>
      </w:r>
      <w:r>
        <w:t xml:space="preserve">has</w:t>
      </w:r>
      <m:oMath>
        <m:r>
          <m:t>∼</m:t>
        </m:r>
        <m:r>
          <m:t>3.3</m:t>
        </m:r>
        <m: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monomers with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t>∼</m:t>
        </m:r>
        <m:r>
          <m:t> </m:t>
        </m:r>
        <m:r>
          <m:t>0.04</m:t>
        </m:r>
      </m:oMath>
      <w:r>
        <w:t xml:space="preserve">. As shown in</w:t>
      </w:r>
      <w:r>
        <w:t xml:space="preserve"> </w:t>
      </w:r>
      <w:r>
        <w:rPr>
          <w:b/>
        </w:rPr>
        <w:t xml:space="preserve">fig below,</w:t>
      </w:r>
      <w:r>
        <w:t xml:space="preserve"> </w:t>
      </w:r>
      <w:r>
        <w:t xml:space="preserve">such an aggregate fits the DISR phase functions very</w:t>
      </w:r>
      <w:r>
        <w:t xml:space="preserve"> </w:t>
      </w:r>
      <w:r>
        <w:t xml:space="preserve">well in both channels.</w:t>
      </w:r>
    </w:p>
    <w:p>
      <w:pPr>
        <w:pStyle w:val="BodyText"/>
      </w:pPr>
      <w:r>
        <w:drawing>
          <wp:inline>
            <wp:extent cx="1222800" cy="4848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7/image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800" cy="48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When the model aggregates are compared to DISR phase</w:t>
      </w:r>
      <w:r>
        <w:t xml:space="preserve"> </w:t>
      </w:r>
      <w:r>
        <w:t xml:space="preserve">functions at each wavelength independently, the best-fitting phase</w:t>
      </w:r>
      <w:r>
        <w:t xml:space="preserve"> </w:t>
      </w:r>
      <w:r>
        <w:t xml:space="preserve">function at each wavelength agrees better with the DISR phase function</w:t>
      </w:r>
      <w:r>
        <w:t xml:space="preserve"> </w:t>
      </w:r>
      <w:r>
        <w:t xml:space="preserve">at the corresponding channel. However, there is a somewhat 20%</w:t>
      </w:r>
      <w:r>
        <w:t xml:space="preserve"> </w:t>
      </w:r>
      <w:r>
        <w:t xml:space="preserve">difference in the size of the aggregates constrained by each</w:t>
      </w:r>
      <w:r>
        <w:t xml:space="preserve"> </w:t>
      </w:r>
      <w:r>
        <w:t xml:space="preserve">channel.</w:t>
      </w:r>
      <w:r>
        <w:rPr>
          <w:b/>
        </w:rPr>
        <w:t xml:space="preserve">Figure 9</w:t>
      </w:r>
      <w:r>
        <w:t xml:space="preserve"> </w:t>
      </w:r>
      <w:r>
        <w:t xml:space="preserve">shows the phase functions of these model</w:t>
      </w:r>
      <w:r>
        <w:t xml:space="preserve"> </w:t>
      </w:r>
      <w:r>
        <w:t xml:space="preserve">aggregates in comparison to the DISR model.</w:t>
      </w:r>
    </w:p>
    <w:p>
      <w:pPr>
        <w:pStyle w:val="BodyText"/>
      </w:pPr>
      <w:r>
        <w:drawing>
          <wp:inline>
            <wp:extent cx="1236000" cy="4440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8/image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000" cy="4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Table 3</w:t>
      </w:r>
      <w:r>
        <w:t xml:space="preserve"> </w:t>
      </w:r>
      <w:r>
        <w:t xml:space="preserve">compares the parameters</w:t>
      </w:r>
    </w:p>
    <w:p>
      <w:pPr>
        <w:pStyle w:val="BodyText"/>
      </w:pPr>
      <w:r>
        <w:t xml:space="preserve">nge between 1500 – 6000.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</w:pP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b"/>
                    </m:rPr>
                    <m:t>m</m:t>
                  </m:r>
                </m:sub>
              </m:sSub>
              <m:r>
                <m:t> </m:t>
              </m:r>
              <m:r>
                <m:t>(</m:t>
              </m:r>
              <m:r>
                <m:t>μ</m:t>
              </m:r>
              <m:r>
                <m:t>m</m:t>
              </m:r>
              <m:r>
                <m:t>)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  <m:r>
                <m:t> </m:t>
              </m:r>
              <m:r>
                <m:t>(</m:t>
              </m:r>
              <m:r>
                <m:t>μ</m:t>
              </m:r>
              <m:r>
                <m:t>m</m:t>
              </m:r>
              <m:r>
                <m:t>)</m:t>
              </m:r>
            </m:oMath>
          </w:p>
        </w:tc>
      </w:tr>
      <w:tr>
        <w:tc>
          <w:p>
            <w:pPr>
              <w:jc w:val="left"/>
            </w:pPr>
            <w:r>
              <w:t xml:space="preserve">This Work</w:t>
            </w:r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3300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2200</m:t>
                </m:r>
                <m:r>
                  <m:t>≤</m:t>
                </m:r>
                <m:r>
                  <m:t>N</m:t>
                </m:r>
                <m:r>
                  <m:t>≤</m:t>
                </m:r>
                <m:r>
                  <m:t> </m:t>
                </m:r>
                <m:r>
                  <m:t>4700</m:t>
                </m:r>
              </m:oMath>
            </m:oMathPara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0.04</m:t>
                </m:r>
                <m:r>
                  <m:rPr>
                    <m:sty m:val="b"/>
                  </m:rPr>
                  <m:t>1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t>0.038</m:t>
                </m:r>
                <m:r>
                  <m:t>≤</m:t>
                </m:r>
                <m:sSub>
                  <m:e>
                    <m:r>
                      <m:t>R</m:t>
                    </m:r>
                  </m:e>
                  <m:sub>
                    <m:r>
                      <m:t>m</m:t>
                    </m:r>
                  </m:sub>
                </m:sSub>
                <m:r>
                  <m:t>≤</m:t>
                </m:r>
                <m:r>
                  <m:t> </m:t>
                </m:r>
                <m:r>
                  <m:t>0.045</m:t>
                </m:r>
              </m:oMath>
            </m:oMathPara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0.6</m:t>
                </m:r>
                <m:r>
                  <m:rPr>
                    <m:sty m:val="b"/>
                  </m:rPr>
                  <m:t>3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t>0.61</m:t>
                </m:r>
                <m:r>
                  <m:t>≤</m:t>
                </m:r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agg</m:t>
                    </m:r>
                  </m:sub>
                </m:sSub>
                <m:r>
                  <m:t>≤</m:t>
                </m:r>
                <m:r>
                  <m:t>0.65</m:t>
                </m:r>
              </m:oMath>
            </m:oMathPara>
          </w:p>
        </w:tc>
      </w:tr>
      <w:tr>
        <w:tc>
          <w:p>
            <w:pPr>
              <w:jc w:val="left"/>
            </w:pPr>
            <w:r>
              <w:t xml:space="preserve">Tomasko et al. (2008)</w:t>
            </w:r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rPr>
                    <m:sty m:val="b"/>
                  </m:rPr>
                  <m:t>3000</m:t>
                </m:r>
                <m:r>
                  <m:rPr>
                    <m:sty m:val="b"/>
                  </m:rPr>
                  <m:t> 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1500</m:t>
                </m:r>
                <m:r>
                  <m:t>≤</m:t>
                </m:r>
                <m:r>
                  <m:t>N</m:t>
                </m:r>
                <m:r>
                  <m:t>≤</m:t>
                </m:r>
                <m:r>
                  <m:t> </m:t>
                </m:r>
                <m:r>
                  <m:t>6000</m:t>
                </m:r>
              </m:oMath>
            </m:oMathPara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0.05</m:t>
                </m:r>
                <m:r>
                  <m:rPr>
                    <m:sty m:val="b"/>
                  </m:rPr>
                  <m:t> 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0.03</m:t>
                </m:r>
                <m:r>
                  <m:t>≤</m:t>
                </m:r>
                <m:sSub>
                  <m:e>
                    <m:r>
                      <m:t>R</m:t>
                    </m:r>
                  </m:e>
                  <m:sub>
                    <m:r>
                      <m:t>m</m:t>
                    </m:r>
                  </m:sub>
                </m:sSub>
                <m:r>
                  <m:t>≤</m:t>
                </m:r>
                <m:r>
                  <m:t>0.07</m:t>
                </m:r>
              </m:oMath>
            </m:oMathPara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rPr>
                    <m:sty m:val="b"/>
                  </m:rPr>
                  <m:t>0.72</m:t>
                </m:r>
              </m:oMath>
            </m:oMathPara>
          </w:p>
        </w:tc>
      </w:tr>
      <w:tr>
        <w:tc>
          <w:p>
            <w:pPr>
              <w:jc w:val="left"/>
            </w:pPr>
            <w:r>
              <w:t xml:space="preserve">Tomasko et al. (2009)</w:t>
            </w:r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rPr>
                    <m:sty m:val="b"/>
                  </m:rPr>
                  <m:t>4300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3000</m:t>
                </m:r>
                <m:r>
                  <m:t>≤</m:t>
                </m:r>
                <m:r>
                  <m:t>N</m:t>
                </m:r>
                <m:r>
                  <m:t>≤</m:t>
                </m:r>
                <m:r>
                  <m:t>7000</m:t>
                </m:r>
              </m:oMath>
            </m:oMathPara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0.04</m:t>
                </m:r>
              </m:oMath>
            </m:oMathPara>
          </w:p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0.03</m:t>
                </m:r>
                <m:r>
                  <m:t>≤</m:t>
                </m:r>
                <m:sSub>
                  <m:e>
                    <m:r>
                      <m:t>R</m:t>
                    </m:r>
                  </m:e>
                  <m:sub>
                    <m:r>
                      <m:t>m</m:t>
                    </m:r>
                  </m:sub>
                </m:sSub>
                <m:r>
                  <m:t>≤</m:t>
                </m:r>
                <m:r>
                  <m:t>0.05</m:t>
                </m:r>
              </m:oMath>
            </m:oMathPara>
          </w:p>
        </w:tc>
        <w:tc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 </m:t>
                </m:r>
                <m:r>
                  <m:rPr>
                    <m:sty m:val="b"/>
                  </m:rPr>
                  <m:t>0.65</m:t>
                </m:r>
              </m:oMath>
            </m:oMathPara>
          </w:p>
          <w:p>
            <w:pPr>
              <w:jc w:val="left"/>
            </w:pPr>
            <m:oMath>
              <m:r>
                <m:t>0.57</m:t>
              </m:r>
              <m:r>
                <m:t>≤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agg</m:t>
                  </m:r>
                </m:sub>
              </m:sSub>
              <m:r>
                <m:t>≤</m:t>
              </m:r>
              <m:r>
                <m:t>0.72</m:t>
              </m:r>
            </m:oMath>
            <w:r>
              <w:t xml:space="preserve"> </w:t>
            </w:r>
            <w:r>
              <w:t xml:space="preserve">*</w:t>
            </w:r>
          </w:p>
        </w:tc>
      </w:tr>
      <w:tr>
        <w:tc>
          <w:p>
            <w:pPr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3 Comparison of the Titan’s haze parameters estimated by different</w:t>
      </w:r>
      <w:r>
        <w:t xml:space="preserve"> </w:t>
      </w:r>
      <w:r>
        <w:t xml:space="preserve">studies. The best estimate given in each work is shown as bold text. The</w:t>
      </w:r>
      <w:r>
        <w:t xml:space="preserve"> </w:t>
      </w:r>
      <w:r>
        <w:t xml:space="preserve">range of the parameter estimates is given if available. * Aggregate size</w:t>
      </w:r>
      <w:r>
        <w:t xml:space="preserve"> </w:t>
      </w:r>
      <w:r>
        <w:t xml:space="preserve">is not given explicitly in the reference text but calculated based on</w:t>
      </w:r>
      <w:r>
        <w:t xml:space="preserve"> </w:t>
      </w:r>
      <w:r>
        <w:t xml:space="preserve">given monomer size uncertainty and the corresponding monomer numbers</w:t>
      </w:r>
      <w:r>
        <w:t xml:space="preserve"> </w:t>
      </w:r>
      <w:r>
        <w:t xml:space="preserve">estimate.</w:t>
      </w:r>
    </w:p>
    <w:p>
      <w:pPr>
        <w:pStyle w:val="BodyText"/>
      </w:pPr>
      <w:r>
        <w:t xml:space="preserve">( From Tomasko 2009:</w:t>
      </w:r>
      <w:r>
        <w:t xml:space="preserve"> </w:t>
      </w:r>
      <w:r>
        <w:t xml:space="preserve">“</w:t>
      </w:r>
      <w:r>
        <w:t xml:space="preserve">Different authors have found the monomer size of</w:t>
      </w:r>
      <w:r>
        <w:t xml:space="preserve"> </w:t>
      </w:r>
      <w:r>
        <w:t xml:space="preserve">Titan’s haze aerosols to be due to different effects. Cabane et al.</w:t>
      </w:r>
      <w:r>
        <w:t xml:space="preserve"> </w:t>
      </w:r>
      <w:r>
        <w:t xml:space="preserve">(1992) and Ran- nou et al. (2000) found that the monomer size depended</w:t>
      </w:r>
      <w:r>
        <w:t xml:space="preserve"> </w:t>
      </w:r>
      <w:r>
        <w:t xml:space="preserve">most on the altitude of formation of the aggregate particles. In their</w:t>
      </w:r>
      <w:r>
        <w:t xml:space="preserve"> </w:t>
      </w:r>
      <w:r>
        <w:t xml:space="preserve">models, larger monomers could be supported at lower altitudes, and this</w:t>
      </w:r>
      <w:r>
        <w:t xml:space="preserve"> </w:t>
      </w:r>
      <w:r>
        <w:t xml:space="preserve">determined the monomer size of the aggregate aerosols. In a new study,</w:t>
      </w:r>
      <w:r>
        <w:t xml:space="preserve"> </w:t>
      </w:r>
      <w:r>
        <w:t xml:space="preserve">Rodin et al. (2009) used a different way of estimating the electrical</w:t>
      </w:r>
      <w:r>
        <w:t xml:space="preserve"> </w:t>
      </w:r>
      <w:r>
        <w:t xml:space="preserve">charge on the aerosol particles. They find that monomers smaller than</w:t>
      </w:r>
      <w:r>
        <w:t xml:space="preserve"> </w:t>
      </w:r>
      <w:r>
        <w:t xml:space="preserve">about 0.05 lm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Because of the possibility of some condensation on the surface of the</w:t>
      </w:r>
      <w:r>
        <w:t xml:space="preserve"> </w:t>
      </w:r>
      <w:r>
        <w:t xml:space="preserve">haze particles below 80 km, which in turn reduces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here I only compare the refractive index constrained by the measurements</w:t>
      </w:r>
      <w:r>
        <w:t xml:space="preserve"> </w:t>
      </w:r>
      <w:r>
        <w:t xml:space="preserve">at 200-km altitude to the laboratory studies. The ranges of refractive</w:t>
      </w:r>
      <w:r>
        <w:t xml:space="preserve"> </w:t>
      </w:r>
      <w:r>
        <w:t xml:space="preserve">index at 491 nm and 935 nm wavelength obtained in this work are closer</w:t>
      </w:r>
      <w:r>
        <w:t xml:space="preserve"> </w:t>
      </w:r>
      <w:r>
        <w:t xml:space="preserve">to the ones obtained by Khare et al. (1984) than the other laboratory</w:t>
      </w:r>
      <w:r>
        <w:t xml:space="preserve"> </w:t>
      </w:r>
      <w:r>
        <w:t xml:space="preserve">studies shown in</w:t>
      </w:r>
      <w:r>
        <w:t xml:space="preserve"> </w:t>
      </w:r>
      <w:r>
        <w:rPr>
          <w:b/>
        </w:rPr>
        <w:t xml:space="preserve">Figure 7</w:t>
      </w:r>
      <w:r>
        <w:t xml:space="preserve"> </w:t>
      </w:r>
      <w:r>
        <w:t xml:space="preserve">. At 491 nm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found to be in between 1.77 – 2.0 and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between</w:t>
      </w:r>
      <w:r>
        <w:t xml:space="preserve"> </w:t>
      </w:r>
      <w:r>
        <w:t xml:space="preserve">0.-096 – 0.126 while Khare et al. (1984) found that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=</w:t>
      </w:r>
      <w:r>
        <w:t xml:space="preserve"> </w:t>
      </w:r>
      <w:r>
        <w:rPr>
          <w:b/>
        </w:rPr>
        <w:t xml:space="preserve">XXX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=</w:t>
      </w:r>
      <w:r>
        <w:rPr>
          <w:b/>
        </w:rPr>
        <w:t xml:space="preserve">YYY</w:t>
      </w:r>
      <w:r>
        <w:t xml:space="preserve"> </w:t>
      </w:r>
      <w:r>
        <w:t xml:space="preserve">. At 935 nm in this</w:t>
      </w:r>
      <w:r>
        <w:t xml:space="preserve"> </w:t>
      </w:r>
      <w:r>
        <w:t xml:space="preserve">work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t> </m:t>
        </m:r>
      </m:oMath>
      <w:r>
        <w:t xml:space="preserve">is between 1.62 – 1.83 and</w:t>
      </w:r>
      <m:oMath>
        <m:r>
          <m:t> </m:t>
        </m:r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ranges from 0.004 to 0.022 whereas Khare et al. (1984) found that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t>=</m:t>
        </m:r>
        <m:r>
          <m:t>x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t>=</m:t>
        </m:r>
        <m:r>
          <m:t>y</m:t>
        </m:r>
        <m:r>
          <m:t>y</m:t>
        </m:r>
      </m:oMath>
      <w:r>
        <w:t xml:space="preserve">.</w:t>
      </w:r>
    </w:p>
    <w:p>
      <w:pPr>
        <w:pStyle w:val="BodyText"/>
      </w:pPr>
      <w:r>
        <w:drawing>
          <wp:inline>
            <wp:extent cx="1237200" cy="4572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image9/image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conclusion"/>
      <w:bookmarkEnd w:id="31"/>
      <w:r>
        <w:t xml:space="preserve">Conclusion</w:t>
      </w:r>
    </w:p>
    <w:p>
      <w:pPr>
        <w:pStyle w:val="FirstParagraph"/>
      </w:pPr>
      <w:r>
        <w:t xml:space="preserve">DISR model for Titan’s haze was published in (Tomasko et al., 2008). The</w:t>
      </w:r>
      <w:r>
        <w:t xml:space="preserve"> </w:t>
      </w:r>
      <w:r>
        <w:t xml:space="preserve">model includes phase functions for several wavelengths, but the ones for</w:t>
      </w:r>
      <w:r>
        <w:t xml:space="preserve"> </w:t>
      </w:r>
      <w:r>
        <w:t xml:space="preserve">491 nm and 935 nm are the focus of this work because these are the peak</w:t>
      </w:r>
      <w:r>
        <w:t xml:space="preserve"> </w:t>
      </w:r>
      <w:r>
        <w:t xml:space="preserve">wavelengths that were detected by the Solar Aureole camera, which</w:t>
      </w:r>
      <w:r>
        <w:t xml:space="preserve"> </w:t>
      </w:r>
      <w:r>
        <w:t xml:space="preserve">directly measured the forward scattering of solar radiation. Doose et</w:t>
      </w:r>
      <w:r>
        <w:t xml:space="preserve"> </w:t>
      </w:r>
      <w:r>
        <w:t xml:space="preserve">al. (2016) revised the phase functions and the single scattering albedo</w:t>
      </w:r>
      <w:r>
        <w:t xml:space="preserve"> </w:t>
      </w:r>
      <w:r>
        <w:t xml:space="preserve">measurements based on more detailed analyses of measurements inside and</w:t>
      </w:r>
      <w:r>
        <w:t xml:space="preserve"> </w:t>
      </w:r>
      <w:r>
        <w:t xml:space="preserve">outside of the Titan’s atmosphere. As opposed to the original DISR model</w:t>
      </w:r>
      <w:r>
        <w:t xml:space="preserve"> </w:t>
      </w:r>
      <w:r>
        <w:t xml:space="preserve">(Tomasko et al., 2008), they used a single phase function throughout the</w:t>
      </w:r>
      <w:r>
        <w:t xml:space="preserve"> </w:t>
      </w:r>
      <w:r>
        <w:t xml:space="preserve">atmosphere for each wavelength. I adopted the DISR model phase functions</w:t>
      </w:r>
      <w:r>
        <w:t xml:space="preserve"> </w:t>
      </w:r>
      <w:r>
        <w:t xml:space="preserve">and SSA from Doose et al. (2016). As for the linear polarization,</w:t>
      </w:r>
      <w:r>
        <w:t xml:space="preserve"> </w:t>
      </w:r>
      <w:r>
        <w:t xml:space="preserve">Tomasko et al., (2009) analyzed the polarization data in more detail</w:t>
      </w:r>
      <w:r>
        <w:t xml:space="preserve"> </w:t>
      </w:r>
      <w:r>
        <w:t xml:space="preserve">than Tomasko et al., 2008 did. I, therefore, utilize the polarization</w:t>
      </w:r>
      <w:r>
        <w:t xml:space="preserve"> </w:t>
      </w:r>
      <w:r>
        <w:t xml:space="preserve">data given by Tomasko et al., (2009) in this work.</w:t>
      </w:r>
    </w:p>
    <w:p>
      <w:pPr>
        <w:pStyle w:val="BodyText"/>
      </w:pPr>
      <w:r>
        <w:t xml:space="preserve">Since the DISR measurements are analyzed in blue and red channels, for</w:t>
      </w:r>
      <w:r>
        <w:t xml:space="preserve"> </w:t>
      </w:r>
      <w:r>
        <w:t xml:space="preserve">each altitude, two sets of constraints on the parameters of haze are</w:t>
      </w:r>
      <w:r>
        <w:t xml:space="preserve"> </w:t>
      </w:r>
      <w:r>
        <w:t xml:space="preserve">obtained. While the constraints on the refractive index are unique to</w:t>
      </w:r>
      <w:r>
        <w:t xml:space="preserve"> </w:t>
      </w:r>
      <w:r>
        <w:t xml:space="preserve">each wavelength, the monomer number and monomer size are supposed to be</w:t>
      </w:r>
      <w:r>
        <w:t xml:space="preserve"> </w:t>
      </w:r>
      <w:r>
        <w:t xml:space="preserve">the same no matter which channel’s data is used to constraint them.</w:t>
      </w:r>
      <w:r>
        <w:t xml:space="preserve"> </w:t>
      </w:r>
      <w:r>
        <w:t xml:space="preserve">Unfortunately, there is some discrepancy between the ranges of N</w:t>
      </w:r>
      <w:r>
        <w:t xml:space="preserve"> </w:t>
      </w:r>
      <w:r>
        <w:t xml:space="preserve">obtained from each channel (see</w:t>
      </w:r>
      <w:r>
        <w:t xml:space="preserve"> </w:t>
      </w:r>
      <w:r>
        <w:rPr>
          <w:b/>
        </w:rPr>
        <w:t xml:space="preserve">table 1 figure 2 and figure 3</w:t>
      </w:r>
      <w:r>
        <w:t xml:space="preserve"> </w:t>
      </w:r>
      <w:r>
        <w:t xml:space="preserve">). For this reason, the combination of the constraints from both</w:t>
      </w:r>
      <w:r>
        <w:t xml:space="preserve"> </w:t>
      </w:r>
      <w:r>
        <w:t xml:space="preserve">channels results in more extensive parameter ranges than the ones</w:t>
      </w:r>
      <w:r>
        <w:t xml:space="preserve"> </w:t>
      </w:r>
      <w:r>
        <w:t xml:space="preserve">obtained by each channel, unless only the intersections of the parameter</w:t>
      </w:r>
      <w:r>
        <w:t xml:space="preserve"> </w:t>
      </w:r>
      <w:r>
        <w:t xml:space="preserve">ranges are considered to match the measurements (see</w:t>
      </w:r>
      <w:r>
        <w:t xml:space="preserve"> </w:t>
      </w:r>
      <w:r>
        <w:rPr>
          <w:b/>
        </w:rPr>
        <w:t xml:space="preserve">Table 2</w:t>
      </w:r>
      <w:r>
        <w:t xml:space="preserve"> </w:t>
      </w:r>
      <w:r>
        <w:t xml:space="preserve">).</w:t>
      </w:r>
      <w:r>
        <w:t xml:space="preserve"> </w:t>
      </w:r>
      <w:r>
        <w:rPr>
          <w:b/>
        </w:rPr>
        <w:t xml:space="preserve">In any case</w:t>
      </w:r>
      <w:r>
        <w:t xml:space="preserve"> </w:t>
      </w:r>
      <w:r>
        <w:t xml:space="preserve">, the parameter ranges are in line with, but</w:t>
      </w:r>
      <w:r>
        <w:t xml:space="preserve"> </w:t>
      </w:r>
      <w:r>
        <w:t xml:space="preserve">narrower than, the ones obtained by earlier works (</w:t>
      </w:r>
      <w:r>
        <w:rPr>
          <w:b/>
        </w:rPr>
        <w:t xml:space="preserve">see Table 3)</w:t>
      </w:r>
    </w:p>
    <w:p>
      <w:pPr>
        <w:pStyle w:val="BodyText"/>
      </w:pPr>
      <w:r>
        <w:t xml:space="preserve">Based on all the constraints from DISR measurements, the best fitting</w:t>
      </w:r>
      <w:r>
        <w:t xml:space="preserve"> </w:t>
      </w:r>
      <w:r>
        <w:t xml:space="preserve">aggregates contain 2900-3500 monomers with monomer size,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between 0.038 – 0.045. The aggregates with larger</w:t>
      </w:r>
      <w:r>
        <w:t xml:space="preserve"> </w:t>
      </w:r>
      <w:r>
        <w:t xml:space="preserve">N have usually smaller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or vice versa. Hence, the</w:t>
      </w:r>
      <w:r>
        <w:t xml:space="preserve"> </w:t>
      </w:r>
      <w:r>
        <w:t xml:space="preserve">range of the overall size of the aggregates which fits the observations</w:t>
      </w:r>
      <w:r>
        <w:t xml:space="preserve"> </w:t>
      </w:r>
      <w:r>
        <w:t xml:space="preserve">is narrower:</w:t>
      </w:r>
      <m:oMath>
        <m:r>
          <m:t>0.61</m:t>
        </m:r>
        <m: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agg</m:t>
            </m:r>
          </m:sub>
        </m:sSub>
        <m:r>
          <m:t>≤</m:t>
        </m:r>
        <m:r>
          <m:t>0.63</m:t>
        </m:r>
      </m:oMath>
      <w:r>
        <w:t xml:space="preserve">, where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agg</m:t>
            </m:r>
          </m:sub>
        </m:sSub>
      </m:oMath>
      <w:r>
        <w:t xml:space="preserve"> </w:t>
      </w:r>
      <w:r>
        <w:t xml:space="preserve">is the radius</w:t>
      </w:r>
      <w:r>
        <w:t xml:space="preserve"> </w:t>
      </w:r>
      <w:r>
        <w:t xml:space="preserve">of an equivalent volume sphere. Comparing to (Tomasko et al., 2008) all</w:t>
      </w:r>
      <w:r>
        <w:t xml:space="preserve"> </w:t>
      </w:r>
      <w:r>
        <w:t xml:space="preserve">the parameter ranges found in this work are narrower. Even without</w:t>
      </w:r>
      <w:r>
        <w:t xml:space="preserve"> </w:t>
      </w:r>
      <w:r>
        <w:t xml:space="preserve">combining the constraints from Blue and Red channels but selecting a</w:t>
      </w:r>
      <w:r>
        <w:t xml:space="preserve"> </w:t>
      </w:r>
      <w:r>
        <w:t xml:space="preserve">range with a minimum and maximum of both channels gives a narrower</w:t>
      </w:r>
      <w:r>
        <w:t xml:space="preserve"> </w:t>
      </w:r>
      <w:r>
        <w:t xml:space="preserve">monomer number range (see Figure 3) than 1500 - 6000 which was the</w:t>
      </w:r>
      <w:r>
        <w:t xml:space="preserve"> </w:t>
      </w:r>
      <w:r>
        <w:t xml:space="preserve">estimate by Tomasko et al. (2008). In this case, the smallest aggregate</w:t>
      </w:r>
      <w:r>
        <w:t xml:space="preserve"> </w:t>
      </w:r>
      <w:r>
        <w:t xml:space="preserve">has 2200 (from Blue Channel), the largest aggregate has 4700 (Red</w:t>
      </w:r>
      <w:r>
        <w:t xml:space="preserve"> </w:t>
      </w:r>
      <w:r>
        <w:t xml:space="preserve">channel) monomers (see table 2) with monomer size range between 0.038</w:t>
      </w:r>
      <w:r>
        <w:t xml:space="preserve"> </w:t>
      </w:r>
      <w:r>
        <w:t xml:space="preserve">(Red and Blue channel minimum) and 0.048 (Red channel maximum).</w:t>
      </w:r>
    </w:p>
    <w:p>
      <w:pPr>
        <w:pStyle w:val="BodyText"/>
      </w:pPr>
      <w:r>
        <w:t xml:space="preserve">The refractive index ranges are shown in table 2.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7b61e13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Haze Paper</dc:title>
  <dc:creator>cihat kurt</dc:creator>
  <dcterms:created xsi:type="dcterms:W3CDTF">2023-03-22T19:52:52Z</dcterms:created>
  <dcterms:modified xsi:type="dcterms:W3CDTF">2023-03-22T19:52:52Z</dcterms:modified>
</cp:coreProperties>
</file>