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tc>
          <w:tcPr>
            <w:tcW w:w="3055" w:type="dxa"/>
          </w:tcPr>
          <w:sdt>
            <w:sdtPr>
              <w:rPr>
                <w:sz w:val="24"/>
                <w:szCs w:val="24"/>
              </w:rPr>
              <w:alias w:val="project_id"/>
              <w:tag w:val="project_id"/>
              <w:id w:val="-1185276225"/>
              <w:placeholder>
                <w:docPart w:val="DefaultPlaceholder_-1854013440"/>
              </w:placeholder>
            </w:sdtPr>
            <w:sdtContent>
              <w:p w14:paraId="678B4910" w14:textId="7FBC4998" w:rsidR="00B64167" w:rsidRDefault="00B64167" w:rsidP="00D8486A">
                <w:pPr>
                  <w:rPr>
                    <w:sz w:val="24"/>
                    <w:szCs w:val="24"/>
                  </w:rPr>
                </w:pPr>
                <w:r>
                  <w:rPr>
                    <w:sz w:val="24"/>
                    <w:szCs w:val="24"/>
                  </w:rPr>
                  <w:t>0000</w:t>
                </w:r>
              </w:p>
            </w:sdtContent>
          </w:sdt>
          <w:p w14:paraId="4CF19954" w14:textId="77777777" w:rsidR="00B64167" w:rsidRDefault="00B64167" w:rsidP="00D8486A">
            <w:pPr>
              <w:rPr>
                <w:sz w:val="24"/>
                <w:szCs w:val="24"/>
              </w:rPr>
            </w:pPr>
          </w:p>
          <w:p w14:paraId="675D99AA" w14:textId="657ECFAA" w:rsidR="00AB24B1" w:rsidRDefault="001B0DF6" w:rsidP="00D8486A">
            <w:pPr>
              <w:rPr>
                <w:sz w:val="24"/>
                <w:szCs w:val="24"/>
              </w:rPr>
            </w:pPr>
            <w:r>
              <w:rPr>
                <w:sz w:val="24"/>
                <w:szCs w:val="24"/>
              </w:rPr>
              <w:t>NA- funded under Pillar 3</w:t>
            </w:r>
          </w:p>
        </w:tc>
        <w:sdt>
          <w:sdtPr>
            <w:rPr>
              <w:sz w:val="24"/>
              <w:szCs w:val="24"/>
            </w:rPr>
            <w:alias w:val="project_title"/>
            <w:tag w:val="project_title"/>
            <w:id w:val="266667517"/>
            <w:placeholder>
              <w:docPart w:val="DefaultPlaceholder_-1854013440"/>
            </w:placeholder>
          </w:sdtPr>
          <w:sdtEndPr/>
          <w:sdtContent>
            <w:tc>
              <w:tcPr>
                <w:tcW w:w="6295" w:type="dxa"/>
              </w:tcPr>
              <w:p w14:paraId="0CDCF902" w14:textId="120CDC38" w:rsidR="00AB24B1" w:rsidRDefault="001B0DF6" w:rsidP="00D8486A">
                <w:pPr>
                  <w:rPr>
                    <w:sz w:val="24"/>
                    <w:szCs w:val="24"/>
                  </w:rPr>
                </w:pPr>
                <w:r w:rsidRPr="001B0DF6">
                  <w:rPr>
                    <w:sz w:val="24"/>
                    <w:szCs w:val="24"/>
                  </w:rPr>
                  <w:t>Enhanced Mark Selective Fishery (MSF) Monitoring</w:t>
                </w:r>
                <w:r w:rsidR="003C36EE">
                  <w:rPr>
                    <w:sz w:val="24"/>
                    <w:szCs w:val="24"/>
                  </w:rPr>
                  <w:t xml:space="preserve"> (including a Chinook Reference Fishery)</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45C9201D" w:rsidR="00010237" w:rsidRDefault="008E6528" w:rsidP="00D8486A">
                <w:pPr>
                  <w:rPr>
                    <w:sz w:val="24"/>
                    <w:szCs w:val="24"/>
                  </w:rPr>
                </w:pPr>
                <w:r>
                  <w:rPr>
                    <w:sz w:val="24"/>
                    <w:szCs w:val="24"/>
                  </w:rPr>
                  <w:t>Erin Rechisky; Philip Lemp</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789F7103" w14:textId="6361AFEC" w:rsidR="00010237" w:rsidRDefault="008E6528" w:rsidP="00D8486A">
                <w:pPr>
                  <w:rPr>
                    <w:sz w:val="24"/>
                    <w:szCs w:val="24"/>
                  </w:rPr>
                </w:pPr>
                <w:r>
                  <w:rPr>
                    <w:sz w:val="24"/>
                    <w:szCs w:val="24"/>
                  </w:rPr>
                  <w:t>Sport Fishing Institute of British Columbia (SFI)</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498D8A43" w:rsidR="00010237" w:rsidRDefault="001B0DF6" w:rsidP="00D8486A">
                <w:pPr>
                  <w:rPr>
                    <w:sz w:val="24"/>
                    <w:szCs w:val="24"/>
                  </w:rPr>
                </w:pPr>
                <w:r>
                  <w:rPr>
                    <w:sz w:val="24"/>
                    <w:szCs w:val="24"/>
                  </w:rPr>
                  <w:t>Southern BC</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rsidRPr="005B4865" w14:paraId="7D777902" w14:textId="106BCA9B">
        <w:sdt>
          <w:sdtPr>
            <w:alias w:val="species"/>
            <w:tag w:val="species"/>
            <w:id w:val="-217204406"/>
            <w:placeholder>
              <w:docPart w:val="AD216CA96C7F4DD19A3758B348A992B6"/>
            </w:placeholder>
          </w:sdtPr>
          <w:sdtEndPr/>
          <w:sdtContent>
            <w:tc>
              <w:tcPr>
                <w:tcW w:w="4135" w:type="dxa"/>
              </w:tcPr>
              <w:p w14:paraId="5C9FE740" w14:textId="7E6ADCC2" w:rsidR="00D75049" w:rsidRDefault="005B4865" w:rsidP="00FC34B0">
                <w:r>
                  <w:t>Chinook Salmon (</w:t>
                </w:r>
                <w:r w:rsidRPr="005B4865">
                  <w:t>Oncorhynchus tshawytscha</w:t>
                </w:r>
                <w:r>
                  <w:t>)</w:t>
                </w:r>
              </w:p>
            </w:tc>
          </w:sdtContent>
        </w:sdt>
        <w:sdt>
          <w:sdtPr>
            <w:alias w:val="waterbodies"/>
            <w:tag w:val="waterbodies"/>
            <w:id w:val="212706360"/>
            <w:placeholder>
              <w:docPart w:val="DefaultPlaceholder_-1854013440"/>
            </w:placeholder>
          </w:sdtPr>
          <w:sdtEndPr/>
          <w:sdtContent>
            <w:tc>
              <w:tcPr>
                <w:tcW w:w="4135" w:type="dxa"/>
              </w:tcPr>
              <w:p w14:paraId="12484633" w14:textId="40CBE515" w:rsidR="00D75049" w:rsidRPr="005B4865" w:rsidRDefault="005B4865" w:rsidP="00FC34B0">
                <w:r w:rsidRPr="005B4865">
                  <w:t>Bute Inlet (PFMA 13), Toba Inlet (PFMA 15), Sechelt I</w:t>
                </w:r>
                <w:r>
                  <w:t xml:space="preserve">nlet (PFMA 16), Gulf Islands/Saanich Inlet (PFMAs 17,18,19), Victoria &amp; Haro Straight (PFMA 19), Howe Sound (PFMA 28). </w:t>
                </w:r>
                <w:r w:rsidR="00CE325C">
                  <w:t xml:space="preserve">See (Figure 1). </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31A68586" w:rsidR="00D75049" w:rsidRDefault="005B4865" w:rsidP="00FC34B0">
                <w:r>
                  <w:t>Adult (Ocean Phase)</w:t>
                </w:r>
              </w:p>
            </w:tc>
          </w:sdtContent>
        </w:sdt>
        <w:sdt>
          <w:sdtPr>
            <w:alias w:val="region"/>
            <w:tag w:val="region"/>
            <w:id w:val="-89314248"/>
            <w:placeholder>
              <w:docPart w:val="DefaultPlaceholder_-1854013440"/>
            </w:placeholder>
          </w:sdtPr>
          <w:sdtEndPr/>
          <w:sdtContent>
            <w:tc>
              <w:tcPr>
                <w:tcW w:w="4135" w:type="dxa"/>
              </w:tcPr>
              <w:p w14:paraId="4EF00D67" w14:textId="63E42AD6" w:rsidR="00D75049" w:rsidRDefault="00C62D78" w:rsidP="00FC34B0">
                <w:r>
                  <w:t>Southern British Columbia</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A73A04" w14:paraId="58ABC976" w14:textId="77777777" w:rsidTr="00780B4E">
        <w:sdt>
          <w:sdtPr>
            <w:alias w:val="stock"/>
            <w:tag w:val="stock"/>
            <w:id w:val="1221093274"/>
            <w:placeholder>
              <w:docPart w:val="DefaultPlaceholder_-1854013440"/>
            </w:placeholder>
          </w:sdtPr>
          <w:sdtEndPr/>
          <w:sdtContent>
            <w:tc>
              <w:tcPr>
                <w:tcW w:w="4135" w:type="dxa"/>
              </w:tcPr>
              <w:p w14:paraId="0B8A9263" w14:textId="13798204" w:rsidR="00A73A04" w:rsidRDefault="005B4865" w:rsidP="00FC34B0">
                <w:r>
                  <w:t>All Chinook Stocks</w:t>
                </w:r>
                <w:r w:rsidR="00C62D78">
                  <w:t xml:space="preserve"> Present</w:t>
                </w:r>
              </w:p>
            </w:tc>
          </w:sdtContent>
        </w:sdt>
        <w:sdt>
          <w:sdtPr>
            <w:alias w:val="population"/>
            <w:tag w:val="population"/>
            <w:id w:val="1093583985"/>
            <w:placeholder>
              <w:docPart w:val="DefaultPlaceholder_-1854013440"/>
            </w:placeholder>
          </w:sdtPr>
          <w:sdtEndPr/>
          <w:sdtContent>
            <w:tc>
              <w:tcPr>
                <w:tcW w:w="4135" w:type="dxa"/>
                <w:tcBorders>
                  <w:bottom w:val="single" w:sz="4" w:space="0" w:color="auto"/>
                </w:tcBorders>
              </w:tcPr>
              <w:p w14:paraId="5E1EA4F9" w14:textId="11A9C08F" w:rsidR="00A73A04" w:rsidRDefault="00C62D78" w:rsidP="00FC34B0">
                <w:r>
                  <w:t>All</w:t>
                </w:r>
              </w:p>
            </w:tc>
          </w:sdtContent>
        </w:sdt>
      </w:tr>
      <w:tr w:rsidR="003E6C33"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3E6C33" w:rsidRDefault="001B3927" w:rsidP="00FC34B0">
            <w:pPr>
              <w:rPr>
                <w:b/>
                <w:bCs/>
              </w:rPr>
            </w:pPr>
            <w:r>
              <w:rPr>
                <w:b/>
                <w:bCs/>
              </w:rPr>
              <w:t xml:space="preserve">Conservation Unit </w:t>
            </w:r>
            <w:r w:rsidR="00382B33"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3E6C33" w:rsidRDefault="003E6C33" w:rsidP="00FC34B0">
            <w:pPr>
              <w:rPr>
                <w:b/>
                <w:bCs/>
              </w:rPr>
            </w:pPr>
          </w:p>
        </w:tc>
      </w:tr>
      <w:tr w:rsidR="003E6C33" w14:paraId="201D45D6" w14:textId="77777777" w:rsidTr="00780B4E">
        <w:sdt>
          <w:sdtPr>
            <w:alias w:val="cu"/>
            <w:tag w:val="cu"/>
            <w:id w:val="-1202329064"/>
            <w:placeholder>
              <w:docPart w:val="DefaultPlaceholder_-1854013440"/>
            </w:placeholder>
            <w:showingPlcHdr/>
          </w:sdtPr>
          <w:sdtEndPr/>
          <w:sdtContent>
            <w:tc>
              <w:tcPr>
                <w:tcW w:w="4135" w:type="dxa"/>
                <w:tcBorders>
                  <w:right w:val="single" w:sz="4" w:space="0" w:color="auto"/>
                </w:tcBorders>
              </w:tcPr>
              <w:p w14:paraId="3934A476" w14:textId="072F53B6" w:rsidR="003E6C33" w:rsidRDefault="00780B4E" w:rsidP="00FC34B0">
                <w:r w:rsidRPr="0056794F">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Default="003E6C33" w:rsidP="00FC34B0"/>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tc>
          <w:tcPr>
            <w:tcW w:w="5000" w:type="pct"/>
          </w:tcPr>
          <w:sdt>
            <w:sdtPr>
              <w:alias w:val="publications"/>
              <w:tag w:val="publications"/>
              <w:id w:val="-221215134"/>
              <w:placeholder>
                <w:docPart w:val="87EB2CBC50DF4173B530C228C9C0297D"/>
              </w:placeholder>
            </w:sdtPr>
            <w:sdtEndPr/>
            <w:sdtContent>
              <w:p w14:paraId="53487276" w14:textId="77777777" w:rsidR="005B4865" w:rsidRPr="001B0DF6" w:rsidRDefault="005B4865" w:rsidP="005B4865">
                <w:r w:rsidRPr="001B0DF6">
                  <w:t xml:space="preserve">2023 Data Report: </w:t>
                </w:r>
                <w:hyperlink r:id="rId12" w:history="1">
                  <w:r w:rsidRPr="001B0DF6">
                    <w:rPr>
                      <w:rStyle w:val="Hyperlink"/>
                    </w:rPr>
                    <w:t>Enhanced monitoring of recreational chinook salmon mark-selective fisheries in south coast BC tidal waters : reference fishery, 2023</w:t>
                  </w:r>
                </w:hyperlink>
              </w:p>
              <w:p w14:paraId="1D5BEA9E" w14:textId="77777777" w:rsidR="005B4865" w:rsidRPr="001B0DF6" w:rsidRDefault="005B4865" w:rsidP="005B4865">
                <w:r w:rsidRPr="001B0DF6">
                  <w:t xml:space="preserve">2024 Data Report: </w:t>
                </w:r>
                <w:hyperlink r:id="rId13" w:history="1">
                  <w:r w:rsidRPr="001B0DF6">
                    <w:rPr>
                      <w:rStyle w:val="Hyperlink"/>
                    </w:rPr>
                    <w:t xml:space="preserve">Enhanced Monitoring of Recreational Chinook Salmon Mark-Selective Fisheries in South Coast BC Tidal Waters: Reference Fishery, 2024 </w:t>
                  </w:r>
                </w:hyperlink>
              </w:p>
              <w:p w14:paraId="754C750B" w14:textId="77777777" w:rsidR="00525701" w:rsidRPr="001B0DF6" w:rsidRDefault="00525701" w:rsidP="00B06488"/>
              <w:p w14:paraId="2A3B9969" w14:textId="1FD512DE" w:rsidR="00D6085B" w:rsidRPr="001B0DF6" w:rsidRDefault="00525701" w:rsidP="00B06488">
                <w:r w:rsidRPr="001B0DF6">
                  <w:t xml:space="preserve">2025 Data Reports Expected Spring 2026. </w:t>
                </w:r>
              </w:p>
              <w:p w14:paraId="77F61415" w14:textId="77777777" w:rsidR="00525701" w:rsidRPr="001B0DF6" w:rsidRDefault="00525701" w:rsidP="00B06488"/>
              <w:p w14:paraId="296DD6DD" w14:textId="515C75FB" w:rsidR="00525701" w:rsidRDefault="00525701" w:rsidP="00B06488">
                <w:r w:rsidRPr="001B0DF6">
                  <w:t xml:space="preserve">Comparative </w:t>
                </w:r>
                <w:r w:rsidR="001B0DF6" w:rsidRPr="001B0DF6">
                  <w:t>a</w:t>
                </w:r>
                <w:r w:rsidRPr="001B0DF6">
                  <w:t xml:space="preserve">nalysis between reference fishery results and </w:t>
                </w:r>
                <w:r w:rsidR="001B0DF6" w:rsidRPr="001B0DF6">
                  <w:t>c</w:t>
                </w:r>
                <w:r w:rsidRPr="001B0DF6">
                  <w:t>reel estimates expected Summer 2026.</w:t>
                </w:r>
                <w:r>
                  <w:t xml:space="preserve"> </w:t>
                </w:r>
              </w:p>
            </w:sdtContent>
          </w:sdt>
        </w:tc>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rPr>
              <w:b/>
              <w:bCs/>
            </w:rPr>
            <w:alias w:val="datasets"/>
            <w:tag w:val="datasets"/>
            <w:id w:val="-722440490"/>
            <w:placeholder>
              <w:docPart w:val="87EB2CBC50DF4173B530C228C9C0297D"/>
            </w:placeholder>
          </w:sdtPr>
          <w:sdtEndPr/>
          <w:sdtContent>
            <w:tc>
              <w:tcPr>
                <w:tcW w:w="5000" w:type="pct"/>
              </w:tcPr>
              <w:p w14:paraId="67C316C8" w14:textId="77777777" w:rsidR="00525701" w:rsidRPr="001B0DF6" w:rsidRDefault="00525701" w:rsidP="00525701">
                <w:pPr>
                  <w:spacing w:after="160" w:line="259" w:lineRule="auto"/>
                </w:pPr>
                <w:r w:rsidRPr="001B0DF6">
                  <w:t xml:space="preserve">2023, 2024 Data Available on Open Canada: </w:t>
                </w:r>
                <w:hyperlink r:id="rId14" w:history="1">
                  <w:r w:rsidRPr="001B0DF6">
                    <w:rPr>
                      <w:rStyle w:val="Hyperlink"/>
                    </w:rPr>
                    <w:t>South Coast Area BC Chinook Reference Fishery Biological Data - Open Government Portal</w:t>
                  </w:r>
                </w:hyperlink>
              </w:p>
              <w:p w14:paraId="19D60016" w14:textId="4C454A87" w:rsidR="00525701" w:rsidRPr="001B0DF6" w:rsidRDefault="00525701" w:rsidP="001B0DF6">
                <w:r w:rsidRPr="001B0DF6">
                  <w:t xml:space="preserve">2025 Data to be added </w:t>
                </w:r>
                <w:r w:rsidR="00AE598F" w:rsidRPr="001B0DF6">
                  <w:t>in Spring 2026</w:t>
                </w:r>
              </w:p>
              <w:p w14:paraId="514C2022" w14:textId="424DEC38" w:rsidR="00E236FF" w:rsidRPr="00E236FF" w:rsidRDefault="00E236FF" w:rsidP="00B06488">
                <w:pPr>
                  <w:rPr>
                    <w:b/>
                    <w:bCs/>
                  </w:rPr>
                </w:pP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rPr>
              <w:b/>
              <w:bCs/>
            </w:rPr>
            <w:alias w:val="data_location"/>
            <w:tag w:val="data_location"/>
            <w:id w:val="-1353563655"/>
            <w:placeholder>
              <w:docPart w:val="87EB2CBC50DF4173B530C228C9C0297D"/>
            </w:placeholder>
          </w:sdtPr>
          <w:sdtEndPr/>
          <w:sdtContent>
            <w:tc>
              <w:tcPr>
                <w:tcW w:w="5000" w:type="pct"/>
              </w:tcPr>
              <w:p w14:paraId="04E29955" w14:textId="2188EADA" w:rsidR="00E236FF" w:rsidRPr="00E236FF" w:rsidRDefault="00C62D78" w:rsidP="00B06488">
                <w:pPr>
                  <w:rPr>
                    <w:b/>
                    <w:bCs/>
                  </w:rPr>
                </w:pPr>
                <w:r>
                  <w:t>Biological data and associated metadata</w:t>
                </w:r>
                <w:r w:rsidR="00AE598F">
                  <w:t xml:space="preserve"> are stored on a secure DFO internal data base system</w:t>
                </w:r>
                <w:r>
                  <w:t xml:space="preserve"> (CREST)</w:t>
                </w:r>
                <w:r w:rsidR="00AE598F">
                  <w:t>, quality-checked, version-controlled, and archived by South Coast Stock Assessment. Final datasets are publicly released through the Government of Canada Open Data Portal in accordance with DFO open data policies.</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rPr>
              <w:rFonts w:asciiTheme="minorHAnsi" w:eastAsiaTheme="minorEastAsia" w:hAnsiTheme="minorHAnsi" w:cstheme="minorBidi"/>
              <w:b/>
              <w:bCs/>
            </w:rPr>
            <w:alias w:val="software"/>
            <w:tag w:val="software"/>
            <w:id w:val="1940797692"/>
            <w:placeholder>
              <w:docPart w:val="87EB2CBC50DF4173B530C228C9C0297D"/>
            </w:placeholder>
          </w:sdtPr>
          <w:sdtEndPr/>
          <w:sdtContent>
            <w:tc>
              <w:tcPr>
                <w:tcW w:w="5000" w:type="pct"/>
              </w:tcPr>
              <w:p w14:paraId="1CBDC836" w14:textId="174ABF31" w:rsidR="00AE598F" w:rsidRDefault="00AE598F" w:rsidP="00AE598F">
                <w:pPr>
                  <w:pStyle w:val="xxmsonormal"/>
                  <w:rPr>
                    <w:sz w:val="24"/>
                    <w:szCs w:val="24"/>
                  </w:rPr>
                </w:pPr>
                <w:r w:rsidRPr="00AE598F">
                  <w:t>The</w:t>
                </w:r>
                <w:r>
                  <w:rPr>
                    <w:b/>
                    <w:bCs/>
                  </w:rPr>
                  <w:t xml:space="preserve"> </w:t>
                </w:r>
                <w:r w:rsidRPr="001B0DF6">
                  <w:t xml:space="preserve">Chinook </w:t>
                </w:r>
                <w:r w:rsidRPr="001B0DF6">
                  <w:rPr>
                    <w:sz w:val="24"/>
                    <w:szCs w:val="24"/>
                  </w:rPr>
                  <w:t>Reference Fishery dashboard allows</w:t>
                </w:r>
                <w:r>
                  <w:rPr>
                    <w:sz w:val="24"/>
                    <w:szCs w:val="24"/>
                  </w:rPr>
                  <w:t xml:space="preserve"> one to explore hatchery mark rates, size distributions, GSI results, and more using the full database of Chinook samples collected </w:t>
                </w:r>
                <w:r w:rsidR="001B0DF6">
                  <w:rPr>
                    <w:sz w:val="24"/>
                    <w:szCs w:val="24"/>
                  </w:rPr>
                  <w:lastRenderedPageBreak/>
                  <w:t xml:space="preserve">during the 3-year project. </w:t>
                </w:r>
                <w:r>
                  <w:rPr>
                    <w:sz w:val="24"/>
                    <w:szCs w:val="24"/>
                  </w:rPr>
                  <w:t xml:space="preserve">The dashboard currently includes data through 2024; 2025 </w:t>
                </w:r>
                <w:r w:rsidR="001B0DF6">
                  <w:rPr>
                    <w:sz w:val="24"/>
                    <w:szCs w:val="24"/>
                  </w:rPr>
                  <w:t xml:space="preserve">stock ID </w:t>
                </w:r>
                <w:r>
                  <w:rPr>
                    <w:sz w:val="24"/>
                    <w:szCs w:val="24"/>
                  </w:rPr>
                  <w:t>results will be added once they become available.</w:t>
                </w:r>
              </w:p>
              <w:p w14:paraId="7A08D962" w14:textId="77777777" w:rsidR="00AE598F" w:rsidRDefault="00AE598F" w:rsidP="00AE598F">
                <w:pPr>
                  <w:pStyle w:val="xxmsonormal"/>
                </w:pPr>
              </w:p>
              <w:p w14:paraId="4F926DA3" w14:textId="4D2B9694" w:rsidR="00AE598F" w:rsidRDefault="00AE598F" w:rsidP="00AE598F">
                <w:pPr>
                  <w:pStyle w:val="xxmsonormal"/>
                </w:pPr>
                <w:r>
                  <w:t xml:space="preserve">Link: </w:t>
                </w:r>
                <w:hyperlink r:id="rId15" w:history="1">
                  <w:r>
                    <w:rPr>
                      <w:rStyle w:val="Hyperlink"/>
                    </w:rPr>
                    <w:t>Chinook Reference Fishery Dashboard | Fisheries Map Gallery</w:t>
                  </w:r>
                </w:hyperlink>
              </w:p>
              <w:p w14:paraId="15A59087" w14:textId="37B66F6C" w:rsidR="00574BD0" w:rsidRPr="00E236FF" w:rsidRDefault="00574BD0" w:rsidP="00B06488">
                <w:pPr>
                  <w:rPr>
                    <w:b/>
                    <w:bCs/>
                  </w:rPr>
                </w:pP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lastRenderedPageBreak/>
              <w:t xml:space="preserve">List communication or social media </w:t>
            </w:r>
            <w:r>
              <w:rPr>
                <w:b/>
                <w:bCs/>
              </w:rPr>
              <w:t>products</w:t>
            </w:r>
          </w:p>
        </w:tc>
      </w:tr>
      <w:tr w:rsidR="00D6085B" w14:paraId="04C4ECF8" w14:textId="77777777" w:rsidTr="00F25F10">
        <w:trPr>
          <w:trHeight w:val="701"/>
        </w:trPr>
        <w:tc>
          <w:tcPr>
            <w:tcW w:w="5000" w:type="pct"/>
          </w:tcPr>
          <w:p w14:paraId="49429EB5" w14:textId="77777777" w:rsidR="009771EA" w:rsidRPr="003C36EE" w:rsidRDefault="009771EA" w:rsidP="009771EA">
            <w:pPr>
              <w:pStyle w:val="NormalWeb"/>
              <w:numPr>
                <w:ilvl w:val="0"/>
                <w:numId w:val="12"/>
              </w:numPr>
              <w:rPr>
                <w:rFonts w:ascii="Calibri" w:hAnsi="Calibri" w:cs="Calibri"/>
              </w:rPr>
            </w:pPr>
            <w:r w:rsidRPr="003C36EE">
              <w:rPr>
                <w:rStyle w:val="Strong"/>
                <w:rFonts w:ascii="Calibri" w:hAnsi="Calibri" w:cs="Calibri"/>
                <w:b w:val="0"/>
                <w:bCs w:val="0"/>
              </w:rPr>
              <w:t>DFO Pacific Region Science Bulletin (2024):</w:t>
            </w:r>
            <w:r w:rsidRPr="003C36EE">
              <w:rPr>
                <w:rFonts w:ascii="Calibri" w:hAnsi="Calibri" w:cs="Calibri"/>
              </w:rPr>
              <w:t xml:space="preserve"> </w:t>
            </w:r>
            <w:r w:rsidRPr="003C36EE">
              <w:rPr>
                <w:rStyle w:val="Emphasis"/>
                <w:rFonts w:ascii="Calibri" w:eastAsiaTheme="majorEastAsia" w:hAnsi="Calibri" w:cs="Calibri"/>
              </w:rPr>
              <w:t>New research and monitoring for Pacific salmon and their ecosystems.</w:t>
            </w:r>
          </w:p>
          <w:p w14:paraId="11090194" w14:textId="32018BEC" w:rsidR="009771EA" w:rsidRPr="003C36EE" w:rsidRDefault="009771EA" w:rsidP="009771EA">
            <w:pPr>
              <w:pStyle w:val="NormalWeb"/>
              <w:numPr>
                <w:ilvl w:val="0"/>
                <w:numId w:val="12"/>
              </w:numPr>
              <w:rPr>
                <w:rFonts w:asciiTheme="minorHAnsi" w:hAnsiTheme="minorHAnsi" w:cstheme="minorHAnsi"/>
              </w:rPr>
            </w:pPr>
            <w:r w:rsidRPr="003C36EE">
              <w:rPr>
                <w:rStyle w:val="Strong"/>
                <w:rFonts w:ascii="Calibri" w:hAnsi="Calibri" w:cs="Calibri"/>
                <w:b w:val="0"/>
                <w:bCs w:val="0"/>
              </w:rPr>
              <w:t>Media coverage:</w:t>
            </w:r>
            <w:r w:rsidRPr="003C36EE">
              <w:rPr>
                <w:rFonts w:ascii="Calibri" w:hAnsi="Calibri" w:cs="Calibri"/>
              </w:rPr>
              <w:t xml:space="preserve"> </w:t>
            </w:r>
            <w:r w:rsidR="003C36EE">
              <w:rPr>
                <w:rFonts w:ascii="Calibri" w:hAnsi="Calibri" w:cs="Calibri"/>
              </w:rPr>
              <w:t xml:space="preserve">The Chinook reference fishery was featured </w:t>
            </w:r>
            <w:r w:rsidRPr="003C36EE">
              <w:rPr>
                <w:rFonts w:ascii="Calibri" w:hAnsi="Calibri" w:cs="Calibri"/>
              </w:rPr>
              <w:t xml:space="preserve">in </w:t>
            </w:r>
            <w:r w:rsidR="003C36EE">
              <w:rPr>
                <w:rFonts w:ascii="Calibri" w:hAnsi="Calibri" w:cs="Calibri"/>
              </w:rPr>
              <w:t>at least two</w:t>
            </w:r>
            <w:r w:rsidRPr="003C36EE">
              <w:rPr>
                <w:rFonts w:ascii="Calibri" w:hAnsi="Calibri" w:cs="Calibri"/>
              </w:rPr>
              <w:t xml:space="preserve"> </w:t>
            </w:r>
            <w:r w:rsidRPr="003C36EE">
              <w:rPr>
                <w:rStyle w:val="Emphasis"/>
                <w:rFonts w:ascii="Calibri" w:eastAsiaTheme="majorEastAsia" w:hAnsi="Calibri" w:cs="Calibri"/>
              </w:rPr>
              <w:t>Island Fisherman Magazine</w:t>
            </w:r>
            <w:r w:rsidRPr="003C36EE">
              <w:rPr>
                <w:rFonts w:ascii="Calibri" w:hAnsi="Calibri" w:cs="Calibri"/>
              </w:rPr>
              <w:t xml:space="preserve"> articles (no DFO </w:t>
            </w:r>
            <w:r w:rsidRPr="003C36EE">
              <w:rPr>
                <w:rFonts w:asciiTheme="minorHAnsi" w:hAnsiTheme="minorHAnsi" w:cstheme="minorHAnsi"/>
              </w:rPr>
              <w:t>authorship)</w:t>
            </w:r>
            <w:r w:rsidR="003C36EE">
              <w:rPr>
                <w:rFonts w:asciiTheme="minorHAnsi" w:hAnsiTheme="minorHAnsi" w:cstheme="minorHAnsi"/>
              </w:rPr>
              <w:t xml:space="preserve"> including this one: </w:t>
            </w:r>
            <w:hyperlink r:id="rId16" w:history="1">
              <w:r w:rsidRPr="003C36EE">
                <w:rPr>
                  <w:rStyle w:val="Hyperlink"/>
                  <w:rFonts w:asciiTheme="minorHAnsi" w:eastAsiaTheme="majorEastAsia" w:hAnsiTheme="minorHAnsi" w:cstheme="minorHAnsi"/>
                </w:rPr>
                <w:t>Chinook MSF - Key Insights and Reference Data Explained</w:t>
              </w:r>
            </w:hyperlink>
          </w:p>
          <w:p w14:paraId="7F3C88BF" w14:textId="77777777" w:rsidR="009771EA" w:rsidRPr="003C36EE" w:rsidRDefault="009771EA" w:rsidP="009771EA">
            <w:pPr>
              <w:pStyle w:val="NormalWeb"/>
              <w:numPr>
                <w:ilvl w:val="0"/>
                <w:numId w:val="12"/>
              </w:numPr>
              <w:rPr>
                <w:rFonts w:ascii="Calibri" w:hAnsi="Calibri" w:cs="Calibri"/>
              </w:rPr>
            </w:pPr>
            <w:r w:rsidRPr="003C36EE">
              <w:rPr>
                <w:rStyle w:val="Strong"/>
                <w:rFonts w:asciiTheme="minorHAnsi" w:hAnsiTheme="minorHAnsi" w:cstheme="minorHAnsi"/>
                <w:b w:val="0"/>
                <w:bCs w:val="0"/>
              </w:rPr>
              <w:t>Technical and stakeholder presentations:</w:t>
            </w:r>
            <w:r w:rsidRPr="003C36EE">
              <w:rPr>
                <w:rFonts w:ascii="Calibri" w:hAnsi="Calibri" w:cs="Calibri"/>
              </w:rPr>
              <w:t xml:space="preserve"> Reference fishery results were presented and discussed at:</w:t>
            </w:r>
          </w:p>
          <w:p w14:paraId="7F02342C" w14:textId="564C60D1" w:rsidR="003C36EE" w:rsidRDefault="003C36EE" w:rsidP="009771EA">
            <w:pPr>
              <w:pStyle w:val="NormalWeb"/>
              <w:numPr>
                <w:ilvl w:val="1"/>
                <w:numId w:val="12"/>
              </w:numPr>
              <w:rPr>
                <w:rFonts w:ascii="Calibri" w:hAnsi="Calibri" w:cs="Calibri"/>
              </w:rPr>
            </w:pPr>
            <w:r w:rsidRPr="003C36EE">
              <w:rPr>
                <w:rFonts w:ascii="Calibri" w:hAnsi="Calibri" w:cs="Calibri"/>
              </w:rPr>
              <w:t xml:space="preserve">Fraser &amp; Approach Salmon Fisheries Forums </w:t>
            </w:r>
            <w:r>
              <w:rPr>
                <w:rFonts w:ascii="Calibri" w:hAnsi="Calibri" w:cs="Calibri"/>
              </w:rPr>
              <w:t xml:space="preserve">Joint </w:t>
            </w:r>
            <w:r w:rsidRPr="003C36EE">
              <w:rPr>
                <w:rFonts w:ascii="Calibri" w:hAnsi="Calibri" w:cs="Calibri"/>
              </w:rPr>
              <w:t>Technical Working Group (JTWG)</w:t>
            </w:r>
          </w:p>
          <w:p w14:paraId="364F37A7" w14:textId="364137B0" w:rsidR="009771EA" w:rsidRPr="009771EA" w:rsidRDefault="009771EA" w:rsidP="009771EA">
            <w:pPr>
              <w:pStyle w:val="NormalWeb"/>
              <w:numPr>
                <w:ilvl w:val="1"/>
                <w:numId w:val="12"/>
              </w:numPr>
              <w:rPr>
                <w:rFonts w:ascii="Calibri" w:hAnsi="Calibri" w:cs="Calibri"/>
              </w:rPr>
            </w:pPr>
            <w:r w:rsidRPr="003C36EE">
              <w:rPr>
                <w:rFonts w:ascii="Calibri" w:hAnsi="Calibri" w:cs="Calibri"/>
              </w:rPr>
              <w:t>Nuu-chah-nulth Tribal Council (NTC)</w:t>
            </w:r>
            <w:r w:rsidR="006A5E13" w:rsidRPr="003C36EE">
              <w:rPr>
                <w:rFonts w:ascii="Calibri" w:hAnsi="Calibri" w:cs="Calibri"/>
              </w:rPr>
              <w:t xml:space="preserve"> Jo</w:t>
            </w:r>
            <w:r w:rsidR="006A5E13">
              <w:rPr>
                <w:rFonts w:ascii="Calibri" w:hAnsi="Calibri" w:cs="Calibri"/>
              </w:rPr>
              <w:t xml:space="preserve">int Technical Working </w:t>
            </w:r>
            <w:r w:rsidR="00FF7E58">
              <w:rPr>
                <w:rFonts w:ascii="Calibri" w:hAnsi="Calibri" w:cs="Calibri"/>
              </w:rPr>
              <w:t>Group</w:t>
            </w:r>
          </w:p>
          <w:p w14:paraId="1816E447" w14:textId="5326C9A8" w:rsidR="009771EA" w:rsidRPr="009771EA" w:rsidRDefault="009771EA" w:rsidP="009771EA">
            <w:pPr>
              <w:pStyle w:val="NormalWeb"/>
              <w:numPr>
                <w:ilvl w:val="1"/>
                <w:numId w:val="12"/>
              </w:numPr>
              <w:rPr>
                <w:rFonts w:ascii="Calibri" w:hAnsi="Calibri" w:cs="Calibri"/>
              </w:rPr>
            </w:pPr>
            <w:r w:rsidRPr="009771EA">
              <w:rPr>
                <w:rFonts w:ascii="Calibri" w:hAnsi="Calibri" w:cs="Calibri"/>
              </w:rPr>
              <w:t>Area 2</w:t>
            </w:r>
            <w:r w:rsidR="006A5E13">
              <w:rPr>
                <w:rFonts w:ascii="Calibri" w:hAnsi="Calibri" w:cs="Calibri"/>
              </w:rPr>
              <w:t xml:space="preserve">5 </w:t>
            </w:r>
            <w:r w:rsidR="003C36EE">
              <w:rPr>
                <w:rFonts w:ascii="Calibri" w:hAnsi="Calibri" w:cs="Calibri"/>
              </w:rPr>
              <w:t>Ha</w:t>
            </w:r>
            <w:r w:rsidR="006A5E13">
              <w:rPr>
                <w:rFonts w:ascii="Calibri" w:hAnsi="Calibri" w:cs="Calibri"/>
              </w:rPr>
              <w:t xml:space="preserve">rvest </w:t>
            </w:r>
            <w:r w:rsidR="003C36EE">
              <w:rPr>
                <w:rFonts w:ascii="Calibri" w:hAnsi="Calibri" w:cs="Calibri"/>
              </w:rPr>
              <w:t>R</w:t>
            </w:r>
            <w:r w:rsidR="006A5E13">
              <w:rPr>
                <w:rFonts w:ascii="Calibri" w:hAnsi="Calibri" w:cs="Calibri"/>
              </w:rPr>
              <w:t xml:space="preserve">ound </w:t>
            </w:r>
            <w:r w:rsidR="003C36EE">
              <w:rPr>
                <w:rFonts w:ascii="Calibri" w:hAnsi="Calibri" w:cs="Calibri"/>
              </w:rPr>
              <w:t>T</w:t>
            </w:r>
            <w:r w:rsidR="006A5E13">
              <w:rPr>
                <w:rFonts w:ascii="Calibri" w:hAnsi="Calibri" w:cs="Calibri"/>
              </w:rPr>
              <w:t>able</w:t>
            </w:r>
          </w:p>
          <w:p w14:paraId="41402CC4" w14:textId="77777777" w:rsidR="009771EA" w:rsidRPr="009771EA" w:rsidRDefault="009771EA" w:rsidP="009771EA">
            <w:pPr>
              <w:pStyle w:val="NormalWeb"/>
              <w:numPr>
                <w:ilvl w:val="1"/>
                <w:numId w:val="12"/>
              </w:numPr>
              <w:rPr>
                <w:rFonts w:ascii="Calibri" w:hAnsi="Calibri" w:cs="Calibri"/>
              </w:rPr>
            </w:pPr>
            <w:r w:rsidRPr="009771EA">
              <w:rPr>
                <w:rFonts w:ascii="Calibri" w:hAnsi="Calibri" w:cs="Calibri"/>
              </w:rPr>
              <w:t>Sport Fishing Institute of BC (SFI) Conference</w:t>
            </w:r>
          </w:p>
          <w:p w14:paraId="56024527" w14:textId="77777777" w:rsidR="009771EA" w:rsidRPr="009771EA" w:rsidRDefault="009771EA" w:rsidP="009771EA">
            <w:pPr>
              <w:pStyle w:val="NormalWeb"/>
              <w:numPr>
                <w:ilvl w:val="1"/>
                <w:numId w:val="12"/>
              </w:numPr>
              <w:rPr>
                <w:rFonts w:ascii="Calibri" w:hAnsi="Calibri" w:cs="Calibri"/>
              </w:rPr>
            </w:pPr>
            <w:r w:rsidRPr="009771EA">
              <w:rPr>
                <w:rFonts w:ascii="Calibri" w:hAnsi="Calibri" w:cs="Calibri"/>
              </w:rPr>
              <w:t>Sport Fishing Advisory Board (SFAB) Catch Monitoring Working Group meetings</w:t>
            </w:r>
          </w:p>
          <w:p w14:paraId="3023BCDD" w14:textId="77777777" w:rsidR="009771EA" w:rsidRPr="009771EA" w:rsidRDefault="009771EA" w:rsidP="009771EA">
            <w:pPr>
              <w:pStyle w:val="NormalWeb"/>
              <w:numPr>
                <w:ilvl w:val="1"/>
                <w:numId w:val="12"/>
              </w:numPr>
              <w:rPr>
                <w:rFonts w:ascii="Calibri" w:hAnsi="Calibri" w:cs="Calibri"/>
              </w:rPr>
            </w:pPr>
            <w:r w:rsidRPr="009771EA">
              <w:rPr>
                <w:rFonts w:ascii="Calibri" w:hAnsi="Calibri" w:cs="Calibri"/>
              </w:rPr>
              <w:t>Avid Angler Annual General Meeting (AGM)</w:t>
            </w:r>
          </w:p>
          <w:p w14:paraId="66114000" w14:textId="1F0A344E" w:rsidR="009771EA" w:rsidRPr="009771EA" w:rsidRDefault="009771EA" w:rsidP="009771EA">
            <w:pPr>
              <w:pStyle w:val="NormalWeb"/>
              <w:numPr>
                <w:ilvl w:val="1"/>
                <w:numId w:val="12"/>
              </w:numPr>
              <w:rPr>
                <w:rFonts w:ascii="Calibri" w:hAnsi="Calibri" w:cs="Calibri"/>
              </w:rPr>
            </w:pPr>
            <w:r w:rsidRPr="009771EA">
              <w:rPr>
                <w:rFonts w:ascii="Calibri" w:hAnsi="Calibri" w:cs="Calibri"/>
              </w:rPr>
              <w:t xml:space="preserve">Island Marine </w:t>
            </w:r>
            <w:r w:rsidR="00FF7E58">
              <w:rPr>
                <w:rFonts w:ascii="Calibri" w:hAnsi="Calibri" w:cs="Calibri"/>
              </w:rPr>
              <w:t>Aquatic</w:t>
            </w:r>
            <w:r w:rsidRPr="009771EA">
              <w:rPr>
                <w:rFonts w:ascii="Calibri" w:hAnsi="Calibri" w:cs="Calibri"/>
              </w:rPr>
              <w:t xml:space="preserve"> </w:t>
            </w:r>
            <w:r w:rsidR="00FF7E58">
              <w:rPr>
                <w:rFonts w:ascii="Calibri" w:hAnsi="Calibri" w:cs="Calibri"/>
              </w:rPr>
              <w:t>Working Group Technical Meeting</w:t>
            </w:r>
            <w:r w:rsidRPr="009771EA">
              <w:rPr>
                <w:rFonts w:ascii="Calibri" w:hAnsi="Calibri" w:cs="Calibri"/>
              </w:rPr>
              <w:t xml:space="preserve"> (IMAT)</w:t>
            </w:r>
          </w:p>
          <w:p w14:paraId="3ED13869" w14:textId="77777777" w:rsidR="009771EA" w:rsidRPr="009771EA" w:rsidRDefault="009771EA" w:rsidP="009771EA">
            <w:pPr>
              <w:pStyle w:val="NormalWeb"/>
              <w:numPr>
                <w:ilvl w:val="1"/>
                <w:numId w:val="12"/>
              </w:numPr>
              <w:rPr>
                <w:rFonts w:ascii="Calibri" w:hAnsi="Calibri" w:cs="Calibri"/>
              </w:rPr>
            </w:pPr>
            <w:r w:rsidRPr="009771EA">
              <w:rPr>
                <w:rFonts w:ascii="Calibri" w:hAnsi="Calibri" w:cs="Calibri"/>
              </w:rPr>
              <w:t>Pacific Salmon Strategy Initiative (PSSI) Symposium</w:t>
            </w:r>
          </w:p>
          <w:p w14:paraId="268A4526" w14:textId="47ED389E" w:rsidR="00702C23" w:rsidRDefault="00702C23" w:rsidP="009771EA"/>
        </w:tc>
      </w:tr>
      <w:tr w:rsidR="00D6085B" w14:paraId="5D0C01DB" w14:textId="77777777" w:rsidTr="00F25F10">
        <w:tc>
          <w:tcPr>
            <w:tcW w:w="5000" w:type="pct"/>
            <w:shd w:val="clear" w:color="auto" w:fill="F2F2F2" w:themeFill="background1" w:themeFillShade="F2"/>
          </w:tcPr>
          <w:p w14:paraId="11C39A9F" w14:textId="72567430" w:rsidR="00D6085B" w:rsidRPr="00007C5A" w:rsidRDefault="00A82C7A" w:rsidP="00B06488">
            <w:pPr>
              <w:rPr>
                <w:b/>
                <w:bCs/>
              </w:rPr>
            </w:pPr>
            <w:r w:rsidRPr="00E9175E">
              <w:rPr>
                <w:b/>
                <w:bCs/>
              </w:rPr>
              <w:t xml:space="preserve"> List and describe samples collected/analyzed (number of samples)</w:t>
            </w:r>
          </w:p>
        </w:tc>
      </w:tr>
      <w:tr w:rsidR="00E236FF" w14:paraId="1CFD60CF" w14:textId="77777777" w:rsidTr="00F25F10">
        <w:trPr>
          <w:trHeight w:val="602"/>
        </w:trPr>
        <w:sdt>
          <w:sdtPr>
            <w:rPr>
              <w:rFonts w:asciiTheme="minorHAnsi" w:eastAsiaTheme="minorEastAsia" w:hAnsiTheme="minorHAnsi" w:cstheme="minorHAnsi"/>
            </w:rPr>
            <w:alias w:val="fieldwork"/>
            <w:tag w:val="fieldwork"/>
            <w:id w:val="-1134106347"/>
            <w:placeholder>
              <w:docPart w:val="87EB2CBC50DF4173B530C228C9C0297D"/>
            </w:placeholder>
          </w:sdtPr>
          <w:sdtEndPr>
            <w:rPr>
              <w:rFonts w:ascii="Times New Roman" w:eastAsia="Times New Roman" w:hAnsi="Times New Roman"/>
            </w:rPr>
          </w:sdtEndPr>
          <w:sdtContent>
            <w:tc>
              <w:tcPr>
                <w:tcW w:w="5000" w:type="pct"/>
              </w:tcPr>
              <w:sdt>
                <w:sdtPr>
                  <w:rPr>
                    <w:rFonts w:ascii="Calibri" w:hAnsi="Calibri" w:cs="Calibri"/>
                  </w:rPr>
                  <w:alias w:val="samples"/>
                  <w:tag w:val="samples"/>
                  <w:id w:val="1068926239"/>
                  <w:placeholder>
                    <w:docPart w:val="2F5A2AE3FF694C21A2C542C0BD488D89"/>
                  </w:placeholder>
                </w:sdtPr>
                <w:sdtEndPr/>
                <w:sdtContent>
                  <w:p w14:paraId="15277992" w14:textId="29E75C19" w:rsidR="003E372F" w:rsidRPr="009771EA" w:rsidRDefault="003E372F" w:rsidP="00902803">
                    <w:pPr>
                      <w:pStyle w:val="NormalWeb"/>
                      <w:ind w:left="360"/>
                      <w:rPr>
                        <w:rFonts w:ascii="Calibri" w:hAnsi="Calibri" w:cs="Calibri"/>
                      </w:rPr>
                    </w:pPr>
                    <w:r w:rsidRPr="00902803">
                      <w:rPr>
                        <w:rFonts w:ascii="Calibri" w:hAnsi="Calibri" w:cs="Calibri"/>
                      </w:rPr>
                      <w:t xml:space="preserve">6,361 Chinook </w:t>
                    </w:r>
                    <w:r w:rsidR="00902803">
                      <w:rPr>
                        <w:rFonts w:ascii="Calibri" w:hAnsi="Calibri" w:cs="Calibri"/>
                      </w:rPr>
                      <w:t xml:space="preserve">salmon </w:t>
                    </w:r>
                    <w:r w:rsidRPr="00902803">
                      <w:rPr>
                        <w:rFonts w:ascii="Calibri" w:hAnsi="Calibri" w:cs="Calibri"/>
                      </w:rPr>
                      <w:t xml:space="preserve">were captured, sampled, and released (2023-2025). </w:t>
                    </w:r>
                    <w:r w:rsidR="00902803" w:rsidRPr="00902803">
                      <w:rPr>
                        <w:rFonts w:ascii="Calibri" w:hAnsi="Calibri" w:cs="Calibri"/>
                      </w:rPr>
                      <w:t>Non</w:t>
                    </w:r>
                    <w:r w:rsidR="00902803">
                      <w:rPr>
                        <w:rFonts w:ascii="Calibri" w:hAnsi="Calibri" w:cs="Calibri"/>
                      </w:rPr>
                      <w:t>-</w:t>
                    </w:r>
                    <w:r w:rsidR="00902803" w:rsidRPr="00902803">
                      <w:rPr>
                        <w:rFonts w:ascii="Calibri" w:hAnsi="Calibri" w:cs="Calibri"/>
                      </w:rPr>
                      <w:t>letha</w:t>
                    </w:r>
                    <w:r w:rsidR="00902803">
                      <w:rPr>
                        <w:rFonts w:ascii="Calibri" w:hAnsi="Calibri" w:cs="Calibri"/>
                      </w:rPr>
                      <w:t>l</w:t>
                    </w:r>
                    <w:r w:rsidR="00902803" w:rsidRPr="00902803">
                      <w:rPr>
                        <w:rFonts w:ascii="Calibri" w:hAnsi="Calibri" w:cs="Calibri"/>
                      </w:rPr>
                      <w:t xml:space="preserve"> </w:t>
                    </w:r>
                    <w:r w:rsidR="00902803">
                      <w:rPr>
                        <w:rFonts w:ascii="Calibri" w:hAnsi="Calibri" w:cs="Calibri"/>
                      </w:rPr>
                      <w:t>t</w:t>
                    </w:r>
                    <w:r w:rsidRPr="00902803">
                      <w:rPr>
                        <w:rFonts w:ascii="Calibri" w:hAnsi="Calibri" w:cs="Calibri"/>
                      </w:rPr>
                      <w:t>issue samples were collected for every fish captured</w:t>
                    </w:r>
                    <w:r w:rsidR="004670D1" w:rsidRPr="00902803">
                      <w:rPr>
                        <w:rFonts w:ascii="Calibri" w:hAnsi="Calibri" w:cs="Calibri"/>
                      </w:rPr>
                      <w:t xml:space="preserve"> and most were </w:t>
                    </w:r>
                    <w:r w:rsidRPr="00902803">
                      <w:rPr>
                        <w:rFonts w:ascii="Calibri" w:hAnsi="Calibri" w:cs="Calibri"/>
                      </w:rPr>
                      <w:t>sent to the molecular genetic</w:t>
                    </w:r>
                    <w:r w:rsidR="00902803">
                      <w:rPr>
                        <w:rFonts w:ascii="Calibri" w:hAnsi="Calibri" w:cs="Calibri"/>
                      </w:rPr>
                      <w:t>s</w:t>
                    </w:r>
                    <w:r w:rsidRPr="00902803">
                      <w:rPr>
                        <w:rFonts w:ascii="Calibri" w:hAnsi="Calibri" w:cs="Calibri"/>
                      </w:rPr>
                      <w:t xml:space="preserve"> lab at the Pacific Biological </w:t>
                    </w:r>
                    <w:r w:rsidR="004670D1" w:rsidRPr="00902803">
                      <w:rPr>
                        <w:rFonts w:ascii="Calibri" w:hAnsi="Calibri" w:cs="Calibri"/>
                      </w:rPr>
                      <w:t>S</w:t>
                    </w:r>
                    <w:r w:rsidRPr="00902803">
                      <w:rPr>
                        <w:rFonts w:ascii="Calibri" w:hAnsi="Calibri" w:cs="Calibri"/>
                      </w:rPr>
                      <w:t>tation</w:t>
                    </w:r>
                    <w:r w:rsidR="004670D1" w:rsidRPr="00902803">
                      <w:rPr>
                        <w:rFonts w:ascii="Calibri" w:hAnsi="Calibri" w:cs="Calibri"/>
                      </w:rPr>
                      <w:t xml:space="preserve"> to determine stock of origin</w:t>
                    </w:r>
                    <w:r w:rsidRPr="00902803">
                      <w:rPr>
                        <w:rFonts w:ascii="Calibri" w:hAnsi="Calibri" w:cs="Calibri"/>
                      </w:rPr>
                      <w:t>.</w:t>
                    </w:r>
                    <w:r w:rsidR="00902803">
                      <w:rPr>
                        <w:rFonts w:ascii="Calibri" w:hAnsi="Calibri" w:cs="Calibri"/>
                      </w:rPr>
                      <w:t xml:space="preserve"> A</w:t>
                    </w:r>
                    <w:r w:rsidR="00A53095" w:rsidRPr="00902803">
                      <w:rPr>
                        <w:rFonts w:ascii="Calibri" w:hAnsi="Calibri" w:cs="Calibri"/>
                      </w:rPr>
                      <w:t>pproximately</w:t>
                    </w:r>
                    <w:r w:rsidR="004670D1" w:rsidRPr="00902803">
                      <w:rPr>
                        <w:rFonts w:ascii="Calibri" w:hAnsi="Calibri" w:cs="Calibri"/>
                      </w:rPr>
                      <w:t xml:space="preserve"> 5000 </w:t>
                    </w:r>
                    <w:r w:rsidR="00A53095" w:rsidRPr="00902803">
                      <w:rPr>
                        <w:rFonts w:ascii="Calibri" w:hAnsi="Calibri" w:cs="Calibri"/>
                      </w:rPr>
                      <w:t xml:space="preserve">fish were identified. </w:t>
                    </w:r>
                  </w:p>
                </w:sdtContent>
              </w:sdt>
              <w:p w14:paraId="649AAD75" w14:textId="4254146F" w:rsidR="00E236FF" w:rsidRPr="00DD09B4" w:rsidRDefault="00E236FF" w:rsidP="0028149A">
                <w:pPr>
                  <w:pStyle w:val="NormalWeb"/>
                </w:pP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dtPr>
          <w:sdtEndPr/>
          <w:sdtContent>
            <w:tc>
              <w:tcPr>
                <w:tcW w:w="5000" w:type="pct"/>
              </w:tcPr>
              <w:p w14:paraId="67E4C894" w14:textId="6CDF1ADE" w:rsidR="00E9175E" w:rsidRDefault="00E30774" w:rsidP="00B06488">
                <w:r>
                  <w:t>None</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bookmarkStart w:id="0" w:name="_Hlk220328409"/>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2A664702"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r w:rsidR="00E30774">
        <w:t xml:space="preserve"> </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bookmarkEnd w:id="0" w:displacedByCustomXml="next"/>
        <w:sdt>
          <w:sdtPr>
            <w:alias w:val="highlights"/>
            <w:id w:val="-641722626"/>
            <w:placeholder>
              <w:docPart w:val="87EB2CBC50DF4173B530C228C9C0297D"/>
            </w:placeholder>
          </w:sdtPr>
          <w:sdtEndPr/>
          <w:sdtContent>
            <w:tc>
              <w:tcPr>
                <w:tcW w:w="9350" w:type="dxa"/>
              </w:tcPr>
              <w:p w14:paraId="1D5D2B5B" w14:textId="365CC8D6" w:rsidR="009253E6" w:rsidRPr="00A82C7A" w:rsidRDefault="009253E6" w:rsidP="009253E6">
                <w:pPr>
                  <w:pStyle w:val="ListParagraph"/>
                  <w:numPr>
                    <w:ilvl w:val="0"/>
                    <w:numId w:val="8"/>
                  </w:numPr>
                  <w:rPr>
                    <w:sz w:val="24"/>
                    <w:szCs w:val="24"/>
                  </w:rPr>
                </w:pPr>
                <w:r w:rsidRPr="00A82C7A">
                  <w:rPr>
                    <w:sz w:val="24"/>
                    <w:szCs w:val="24"/>
                  </w:rPr>
                  <w:t xml:space="preserve">The Chinook reference fishery was </w:t>
                </w:r>
                <w:r w:rsidR="00902803">
                  <w:rPr>
                    <w:sz w:val="24"/>
                    <w:szCs w:val="24"/>
                  </w:rPr>
                  <w:t>a</w:t>
                </w:r>
                <w:r w:rsidRPr="00A82C7A">
                  <w:rPr>
                    <w:sz w:val="24"/>
                    <w:szCs w:val="24"/>
                  </w:rPr>
                  <w:t xml:space="preserve"> fishery-independent </w:t>
                </w:r>
                <w:r w:rsidR="00902803">
                  <w:rPr>
                    <w:sz w:val="24"/>
                    <w:szCs w:val="24"/>
                  </w:rPr>
                  <w:t xml:space="preserve">study </w:t>
                </w:r>
                <w:r w:rsidRPr="00A82C7A">
                  <w:rPr>
                    <w:sz w:val="24"/>
                    <w:szCs w:val="24"/>
                  </w:rPr>
                  <w:t xml:space="preserve">to </w:t>
                </w:r>
                <w:r w:rsidR="00E574FF">
                  <w:rPr>
                    <w:sz w:val="24"/>
                    <w:szCs w:val="24"/>
                  </w:rPr>
                  <w:t xml:space="preserve">assess </w:t>
                </w:r>
                <w:r w:rsidR="00902803">
                  <w:rPr>
                    <w:sz w:val="24"/>
                    <w:szCs w:val="24"/>
                  </w:rPr>
                  <w:t xml:space="preserve">estimates produced by DFO’s </w:t>
                </w:r>
                <w:r w:rsidR="00E574FF">
                  <w:rPr>
                    <w:sz w:val="24"/>
                    <w:szCs w:val="24"/>
                  </w:rPr>
                  <w:t xml:space="preserve">fishery-dependent </w:t>
                </w:r>
                <w:r w:rsidR="00902803">
                  <w:rPr>
                    <w:sz w:val="24"/>
                    <w:szCs w:val="24"/>
                  </w:rPr>
                  <w:t xml:space="preserve">recreational </w:t>
                </w:r>
                <w:r w:rsidR="00E574FF">
                  <w:rPr>
                    <w:sz w:val="24"/>
                    <w:szCs w:val="24"/>
                  </w:rPr>
                  <w:t xml:space="preserve">fishery </w:t>
                </w:r>
                <w:r w:rsidR="00902803">
                  <w:rPr>
                    <w:sz w:val="24"/>
                    <w:szCs w:val="24"/>
                  </w:rPr>
                  <w:t xml:space="preserve">catch monitoring </w:t>
                </w:r>
                <w:r w:rsidR="006E13C4">
                  <w:rPr>
                    <w:sz w:val="24"/>
                    <w:szCs w:val="24"/>
                  </w:rPr>
                  <w:t xml:space="preserve">(creel) </w:t>
                </w:r>
                <w:r w:rsidR="00902803">
                  <w:rPr>
                    <w:sz w:val="24"/>
                    <w:szCs w:val="24"/>
                  </w:rPr>
                  <w:t>program</w:t>
                </w:r>
                <w:r w:rsidR="00E574FF" w:rsidRPr="00A82C7A">
                  <w:rPr>
                    <w:sz w:val="24"/>
                    <w:szCs w:val="24"/>
                  </w:rPr>
                  <w:t xml:space="preserve"> </w:t>
                </w:r>
                <w:r w:rsidR="00E574FF">
                  <w:rPr>
                    <w:sz w:val="24"/>
                    <w:szCs w:val="24"/>
                  </w:rPr>
                  <w:t xml:space="preserve">particularly for </w:t>
                </w:r>
                <w:r w:rsidR="00E574FF" w:rsidRPr="00A82C7A">
                  <w:rPr>
                    <w:sz w:val="24"/>
                    <w:szCs w:val="24"/>
                  </w:rPr>
                  <w:t>mark-selective fisheries (MSFs)</w:t>
                </w:r>
                <w:r w:rsidR="00E574FF">
                  <w:rPr>
                    <w:sz w:val="24"/>
                    <w:szCs w:val="24"/>
                  </w:rPr>
                  <w:t>. This in</w:t>
                </w:r>
                <w:r w:rsidRPr="00A82C7A">
                  <w:rPr>
                    <w:sz w:val="24"/>
                    <w:szCs w:val="24"/>
                  </w:rPr>
                  <w:t>clud</w:t>
                </w:r>
                <w:r w:rsidR="00E574FF">
                  <w:rPr>
                    <w:sz w:val="24"/>
                    <w:szCs w:val="24"/>
                  </w:rPr>
                  <w:t>ed</w:t>
                </w:r>
                <w:r w:rsidRPr="00A82C7A">
                  <w:rPr>
                    <w:sz w:val="24"/>
                    <w:szCs w:val="24"/>
                  </w:rPr>
                  <w:t xml:space="preserve"> catch by size class</w:t>
                </w:r>
                <w:r w:rsidR="00E574FF">
                  <w:rPr>
                    <w:sz w:val="24"/>
                    <w:szCs w:val="24"/>
                  </w:rPr>
                  <w:t xml:space="preserve">, </w:t>
                </w:r>
                <w:r w:rsidRPr="00A82C7A">
                  <w:rPr>
                    <w:sz w:val="24"/>
                    <w:szCs w:val="24"/>
                  </w:rPr>
                  <w:t xml:space="preserve">hatchery mark rate, </w:t>
                </w:r>
                <w:r w:rsidR="00E574FF">
                  <w:rPr>
                    <w:sz w:val="24"/>
                    <w:szCs w:val="24"/>
                  </w:rPr>
                  <w:t>and</w:t>
                </w:r>
                <w:r w:rsidRPr="00A82C7A">
                  <w:rPr>
                    <w:sz w:val="24"/>
                    <w:szCs w:val="24"/>
                  </w:rPr>
                  <w:t xml:space="preserve"> stock composition of unmarked Chinook that would otherwise be released at sea in a pure MSF.</w:t>
                </w:r>
                <w:r w:rsidR="00E574FF">
                  <w:rPr>
                    <w:sz w:val="24"/>
                    <w:szCs w:val="24"/>
                  </w:rPr>
                  <w:t xml:space="preserve"> </w:t>
                </w:r>
              </w:p>
              <w:p w14:paraId="1A5510E3" w14:textId="166F72E0" w:rsidR="009253E6" w:rsidRPr="00A82C7A" w:rsidRDefault="009253E6" w:rsidP="009253E6">
                <w:pPr>
                  <w:pStyle w:val="ListParagraph"/>
                  <w:numPr>
                    <w:ilvl w:val="0"/>
                    <w:numId w:val="8"/>
                  </w:numPr>
                  <w:rPr>
                    <w:sz w:val="24"/>
                    <w:szCs w:val="24"/>
                  </w:rPr>
                </w:pPr>
                <w:r w:rsidRPr="00A82C7A">
                  <w:rPr>
                    <w:sz w:val="24"/>
                    <w:szCs w:val="24"/>
                  </w:rPr>
                  <w:t>The reference fishery provide</w:t>
                </w:r>
                <w:r w:rsidR="00E574FF">
                  <w:rPr>
                    <w:sz w:val="24"/>
                    <w:szCs w:val="24"/>
                  </w:rPr>
                  <w:t>d</w:t>
                </w:r>
                <w:r w:rsidRPr="00A82C7A">
                  <w:rPr>
                    <w:sz w:val="24"/>
                    <w:szCs w:val="24"/>
                  </w:rPr>
                  <w:t xml:space="preserve"> an unbiased baseline of the Chinook composition vulnerable to the recreational fishery, something that creel data alone cannot fully provide, and is therefore a valuable tool for evaluating active MSFs and supporting future MSF design.</w:t>
                </w:r>
              </w:p>
              <w:p w14:paraId="206E847A" w14:textId="209178AF" w:rsidR="001527C3" w:rsidRDefault="009253E6" w:rsidP="009253E6">
                <w:pPr>
                  <w:pStyle w:val="ListParagraph"/>
                  <w:numPr>
                    <w:ilvl w:val="0"/>
                    <w:numId w:val="8"/>
                  </w:numPr>
                  <w:spacing w:after="160" w:line="259" w:lineRule="auto"/>
                </w:pPr>
                <w:r w:rsidRPr="00A82C7A">
                  <w:rPr>
                    <w:sz w:val="24"/>
                    <w:szCs w:val="24"/>
                  </w:rPr>
                  <w:t>Results indicate that core assumptions underlying creel estimates in MSFs need to be explicitly considered in fishery planning, as reliance on creel data alone can misrepresent impacts on stocks of concern and affect management decisions.</w:t>
                </w:r>
              </w:p>
            </w:tc>
          </w:sdtContent>
        </w:sdt>
      </w:tr>
    </w:tbl>
    <w:p w14:paraId="0BA11E50" w14:textId="26927632" w:rsidR="004E36EA" w:rsidRDefault="004E36EA" w:rsidP="009C5335"/>
    <w:p w14:paraId="4A3809B5" w14:textId="51DD8E67" w:rsidR="002E013F" w:rsidRDefault="002E013F" w:rsidP="002E013F">
      <w:pPr>
        <w:pStyle w:val="Heading2"/>
      </w:pPr>
      <w:bookmarkStart w:id="1" w:name="_Hlk220330663"/>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bookmarkEnd w:id="1" w:displacedByCustomXml="next"/>
        <w:sdt>
          <w:sdtPr>
            <w:alias w:val="background"/>
            <w:tag w:val="background"/>
            <w:id w:val="-284966636"/>
            <w:placeholder>
              <w:docPart w:val="A5999F5861C744FB94434E61FF3F9387"/>
            </w:placeholder>
          </w:sdtPr>
          <w:sdtEndPr/>
          <w:sdtContent>
            <w:tc>
              <w:tcPr>
                <w:tcW w:w="9350" w:type="dxa"/>
              </w:tcPr>
              <w:p w14:paraId="2B88DAFD" w14:textId="67D9306B" w:rsidR="00E65471" w:rsidRPr="00A82C7A" w:rsidRDefault="00E65471" w:rsidP="00E65471">
                <w:pPr>
                  <w:rPr>
                    <w:sz w:val="24"/>
                    <w:szCs w:val="24"/>
                  </w:rPr>
                </w:pPr>
                <w:r w:rsidRPr="00A82C7A">
                  <w:rPr>
                    <w:sz w:val="24"/>
                    <w:szCs w:val="24"/>
                  </w:rPr>
                  <w:t>Mark-selective fisheries (MSFs) have been implemented as a management tool to shift exploitation away from natural-origin Chinook salmon toward hatchery-origin fish</w:t>
                </w:r>
                <w:r w:rsidR="006E13C4">
                  <w:rPr>
                    <w:sz w:val="24"/>
                    <w:szCs w:val="24"/>
                  </w:rPr>
                  <w:t>; the latter</w:t>
                </w:r>
                <w:r w:rsidRPr="00A82C7A">
                  <w:rPr>
                    <w:sz w:val="24"/>
                    <w:szCs w:val="24"/>
                  </w:rPr>
                  <w:t xml:space="preserve"> </w:t>
                </w:r>
                <w:r w:rsidR="006E13C4">
                  <w:rPr>
                    <w:sz w:val="24"/>
                    <w:szCs w:val="24"/>
                  </w:rPr>
                  <w:t>often</w:t>
                </w:r>
                <w:r w:rsidRPr="00A82C7A">
                  <w:rPr>
                    <w:sz w:val="24"/>
                    <w:szCs w:val="24"/>
                  </w:rPr>
                  <w:t xml:space="preserve"> </w:t>
                </w:r>
                <w:r w:rsidR="006E13C4">
                  <w:rPr>
                    <w:sz w:val="24"/>
                    <w:szCs w:val="24"/>
                  </w:rPr>
                  <w:t xml:space="preserve">have their </w:t>
                </w:r>
                <w:r w:rsidRPr="00A82C7A">
                  <w:rPr>
                    <w:sz w:val="24"/>
                    <w:szCs w:val="24"/>
                  </w:rPr>
                  <w:t xml:space="preserve">adipose fin </w:t>
                </w:r>
                <w:r w:rsidR="006E13C4">
                  <w:rPr>
                    <w:sz w:val="24"/>
                    <w:szCs w:val="24"/>
                  </w:rPr>
                  <w:t>removed at the hatchery and are referred to as “marked”</w:t>
                </w:r>
                <w:r w:rsidRPr="00A82C7A">
                  <w:rPr>
                    <w:sz w:val="24"/>
                    <w:szCs w:val="24"/>
                  </w:rPr>
                  <w:t xml:space="preserve">. In pure MSFs, unmarked stocks are legally required to be released at sea and </w:t>
                </w:r>
                <w:r w:rsidR="006E13C4">
                  <w:rPr>
                    <w:sz w:val="24"/>
                    <w:szCs w:val="24"/>
                  </w:rPr>
                  <w:t xml:space="preserve">thus </w:t>
                </w:r>
                <w:r w:rsidRPr="00A82C7A">
                  <w:rPr>
                    <w:sz w:val="24"/>
                    <w:szCs w:val="24"/>
                  </w:rPr>
                  <w:t>are unavailable to dockside sampling</w:t>
                </w:r>
                <w:r w:rsidR="00361576">
                  <w:rPr>
                    <w:sz w:val="24"/>
                    <w:szCs w:val="24"/>
                  </w:rPr>
                  <w:t>.</w:t>
                </w:r>
                <w:r w:rsidRPr="00A82C7A">
                  <w:rPr>
                    <w:sz w:val="24"/>
                    <w:szCs w:val="24"/>
                  </w:rPr>
                  <w:t xml:space="preserve"> Following widespread recreational Chinook closures in 2019, a series of mixed-bag and pure MSFs were progressively introduced across </w:t>
                </w:r>
                <w:r w:rsidR="006E13C4">
                  <w:rPr>
                    <w:sz w:val="24"/>
                    <w:szCs w:val="24"/>
                  </w:rPr>
                  <w:t>southern</w:t>
                </w:r>
                <w:r w:rsidRPr="00A82C7A">
                  <w:rPr>
                    <w:sz w:val="24"/>
                    <w:szCs w:val="24"/>
                  </w:rPr>
                  <w:t xml:space="preserve"> British Columbia between 2020 and 2024, increasing the need for robust monitoring to evaluate their impacts.</w:t>
                </w:r>
              </w:p>
              <w:p w14:paraId="39F5B396" w14:textId="77777777" w:rsidR="00E65471" w:rsidRPr="00A82C7A" w:rsidRDefault="00E65471" w:rsidP="00E65471">
                <w:pPr>
                  <w:rPr>
                    <w:sz w:val="24"/>
                    <w:szCs w:val="24"/>
                  </w:rPr>
                </w:pPr>
              </w:p>
              <w:p w14:paraId="00A50524" w14:textId="7DD6EE03" w:rsidR="002E013F" w:rsidRDefault="00E65471" w:rsidP="00E65471">
                <w:r w:rsidRPr="00A82C7A">
                  <w:rPr>
                    <w:sz w:val="24"/>
                    <w:szCs w:val="24"/>
                  </w:rPr>
                  <w:t>During consultations, First Nations and stakeholders raised concerns about potential encounters with Chinook stocks of concern in MSFs. In response, the Pacific Salmon Strategy Initiative (PSSI) supported enhanced monitoring under the Harvest Transformation pillar, including expanded creel surveys and the development of a Chinook reference fishery. The reference fishery was designed to address key data gaps by independently assessing mark rates, legal rates (i.e., proportion of legal size Chinook encountered), and stock composition—particularly for unmarked fish in pure MSFs—aligning with recommendations from the Pacific Salmon Commission to improve monitoring of MSFs. This work was made possible through collaboration between DFO and the Sport Fishing Institute of BC, with support from a BC Salmon Restoration and Innovation Fund grant that enabled the use of charter vessels and local guide expertise.</w:t>
                </w:r>
              </w:p>
            </w:tc>
          </w:sdtContent>
        </w:sdt>
      </w:tr>
      <w:tr w:rsidR="00E65471" w14:paraId="241C94BF" w14:textId="77777777">
        <w:trPr>
          <w:trHeight w:val="1520"/>
        </w:trPr>
        <w:tc>
          <w:tcPr>
            <w:tcW w:w="9350" w:type="dxa"/>
          </w:tcPr>
          <w:p w14:paraId="50C15667" w14:textId="77777777" w:rsidR="00E65471" w:rsidRDefault="00E65471" w:rsidP="00E65471"/>
        </w:tc>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bookmarkStart w:id="2" w:name="_Hlk220331485"/>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bookmarkStart w:id="3" w:name="_Hlk220330333"/>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bookmarkEnd w:id="2" w:displacedByCustomXml="next"/>
        <w:bookmarkEnd w:id="3" w:displacedByCustomXml="next"/>
        <w:sdt>
          <w:sdtPr>
            <w:alias w:val="methods_findings"/>
            <w:tag w:val="methods_findings"/>
            <w:id w:val="-1619052502"/>
            <w:placeholder>
              <w:docPart w:val="D2AF34734BDE4F94B886FCE5E82E5E2B"/>
            </w:placeholder>
          </w:sdtPr>
          <w:sdtEndPr/>
          <w:sdtContent>
            <w:tc>
              <w:tcPr>
                <w:tcW w:w="9350" w:type="dxa"/>
              </w:tcPr>
              <w:p w14:paraId="21D540A2" w14:textId="2574E867" w:rsidR="00902803" w:rsidRPr="00A82C7A" w:rsidRDefault="00E60ECE" w:rsidP="00E60ECE">
                <w:pPr>
                  <w:rPr>
                    <w:sz w:val="24"/>
                    <w:szCs w:val="24"/>
                  </w:rPr>
                </w:pPr>
                <w:r w:rsidRPr="00A82C7A">
                  <w:rPr>
                    <w:sz w:val="24"/>
                    <w:szCs w:val="24"/>
                  </w:rPr>
                  <w:t>Sampling operations were designed to closely mirror typical recreational Chinook salmon fisheries to ensure that sampled fish were representative of those vulnerable to capture</w:t>
                </w:r>
                <w:r w:rsidR="00361576">
                  <w:rPr>
                    <w:sz w:val="24"/>
                    <w:szCs w:val="24"/>
                  </w:rPr>
                  <w:t xml:space="preserve"> by recreational anglers</w:t>
                </w:r>
                <w:r w:rsidRPr="00A82C7A">
                  <w:rPr>
                    <w:sz w:val="24"/>
                    <w:szCs w:val="24"/>
                  </w:rPr>
                  <w:t>. Reference fishing trips were conducted by experienced local guides operating as standard charter excursions</w:t>
                </w:r>
                <w:r w:rsidR="004955A5">
                  <w:rPr>
                    <w:sz w:val="24"/>
                    <w:szCs w:val="24"/>
                  </w:rPr>
                  <w:t>. A</w:t>
                </w:r>
                <w:r w:rsidR="00361576" w:rsidRPr="00A82C7A">
                  <w:rPr>
                    <w:sz w:val="24"/>
                    <w:szCs w:val="24"/>
                  </w:rPr>
                  <w:t xml:space="preserve"> trained DFO sampler was assigned to each vessel to document and sample all Chinook salmon encountered.</w:t>
                </w:r>
                <w:r w:rsidRPr="00A82C7A">
                  <w:rPr>
                    <w:sz w:val="24"/>
                    <w:szCs w:val="24"/>
                  </w:rPr>
                  <w:t xml:space="preserve"> </w:t>
                </w:r>
                <w:r w:rsidR="004955A5">
                  <w:rPr>
                    <w:sz w:val="24"/>
                    <w:szCs w:val="24"/>
                  </w:rPr>
                  <w:t>A</w:t>
                </w:r>
                <w:r w:rsidRPr="00A82C7A">
                  <w:rPr>
                    <w:sz w:val="24"/>
                    <w:szCs w:val="24"/>
                  </w:rPr>
                  <w:t>ctivities were restricted to MSF open areas or predefined sampling boundaries</w:t>
                </w:r>
                <w:r w:rsidR="0077599B">
                  <w:rPr>
                    <w:sz w:val="24"/>
                    <w:szCs w:val="24"/>
                  </w:rPr>
                  <w:t xml:space="preserve"> (Figure 1)</w:t>
                </w:r>
                <w:r w:rsidRPr="00A82C7A">
                  <w:rPr>
                    <w:sz w:val="24"/>
                    <w:szCs w:val="24"/>
                  </w:rPr>
                  <w:t>. While guided fishing typically results in higher catch rates than unguided effort, the objective of the reference fishery was not to estimate fishing effort but</w:t>
                </w:r>
                <w:r w:rsidR="004955A5">
                  <w:rPr>
                    <w:sz w:val="24"/>
                    <w:szCs w:val="24"/>
                  </w:rPr>
                  <w:t xml:space="preserve"> maximize catch in order</w:t>
                </w:r>
                <w:r w:rsidRPr="00A82C7A">
                  <w:rPr>
                    <w:sz w:val="24"/>
                    <w:szCs w:val="24"/>
                  </w:rPr>
                  <w:t xml:space="preserve"> to characterize catch composition, mark rates, and stock composition of Chinook encountered by the recreational fishery.</w:t>
                </w:r>
                <w:r w:rsidR="00361576">
                  <w:rPr>
                    <w:sz w:val="24"/>
                    <w:szCs w:val="24"/>
                  </w:rPr>
                  <w:t xml:space="preserve"> </w:t>
                </w:r>
                <w:r w:rsidR="00902803" w:rsidRPr="009771EA">
                  <w:rPr>
                    <w:rFonts w:ascii="Calibri" w:hAnsi="Calibri" w:cs="Calibri"/>
                  </w:rPr>
                  <w:t>In total, 780 boat days of Chinook sampling were completed</w:t>
                </w:r>
                <w:r w:rsidR="00902803">
                  <w:rPr>
                    <w:rFonts w:ascii="Calibri" w:hAnsi="Calibri" w:cs="Calibri"/>
                  </w:rPr>
                  <w:t xml:space="preserve"> over the 3-year study. </w:t>
                </w:r>
              </w:p>
              <w:p w14:paraId="0F8E8975" w14:textId="77777777" w:rsidR="00E60ECE" w:rsidRPr="00A82C7A" w:rsidRDefault="00E60ECE" w:rsidP="00E60ECE">
                <w:pPr>
                  <w:rPr>
                    <w:sz w:val="24"/>
                    <w:szCs w:val="24"/>
                  </w:rPr>
                </w:pPr>
              </w:p>
              <w:p w14:paraId="3F171679" w14:textId="1A50DD32" w:rsidR="00E60ECE" w:rsidRPr="00A82C7A" w:rsidRDefault="00E60ECE" w:rsidP="00E60ECE">
                <w:pPr>
                  <w:rPr>
                    <w:sz w:val="24"/>
                    <w:szCs w:val="24"/>
                  </w:rPr>
                </w:pPr>
                <w:r w:rsidRPr="00A82C7A">
                  <w:rPr>
                    <w:sz w:val="24"/>
                    <w:szCs w:val="24"/>
                  </w:rPr>
                  <w:t xml:space="preserve">Chinook salmon were identified at the boat’s side, briefly brought aboard for sampling, and released immediately following best-practice handling procedures consistent with DFO guidelines. All non-Chinook species were released immediately and recorded. For each Chinook sampled, data collected included catch location, time to landing, fork length, adipose fin clip status, and a tissue sample for </w:t>
                </w:r>
                <w:r w:rsidR="0018105E">
                  <w:rPr>
                    <w:sz w:val="24"/>
                    <w:szCs w:val="24"/>
                  </w:rPr>
                  <w:t>stock ID (</w:t>
                </w:r>
                <w:r w:rsidRPr="00A82C7A">
                  <w:rPr>
                    <w:sz w:val="24"/>
                    <w:szCs w:val="24"/>
                  </w:rPr>
                  <w:t>genetic stock identification</w:t>
                </w:r>
                <w:r w:rsidR="0018105E">
                  <w:rPr>
                    <w:sz w:val="24"/>
                    <w:szCs w:val="24"/>
                  </w:rPr>
                  <w:t xml:space="preserve"> </w:t>
                </w:r>
                <w:r w:rsidR="0018105E" w:rsidRPr="00A82C7A">
                  <w:rPr>
                    <w:sz w:val="24"/>
                    <w:szCs w:val="24"/>
                  </w:rPr>
                  <w:t>(GSI) and parentage-based tagging (PBT</w:t>
                </w:r>
                <w:r w:rsidR="0018105E">
                  <w:rPr>
                    <w:sz w:val="24"/>
                    <w:szCs w:val="24"/>
                  </w:rPr>
                  <w:t xml:space="preserve">; </w:t>
                </w:r>
                <w:r w:rsidR="0018105E" w:rsidRPr="00A82C7A">
                  <w:rPr>
                    <w:sz w:val="24"/>
                    <w:szCs w:val="24"/>
                  </w:rPr>
                  <w:t>Beacham et al., 2022)</w:t>
                </w:r>
                <w:r w:rsidR="0018105E">
                  <w:rPr>
                    <w:sz w:val="24"/>
                    <w:szCs w:val="24"/>
                  </w:rPr>
                  <w:t>)</w:t>
                </w:r>
                <w:r w:rsidR="0018105E" w:rsidRPr="00A82C7A">
                  <w:rPr>
                    <w:sz w:val="24"/>
                    <w:szCs w:val="24"/>
                  </w:rPr>
                  <w:t>. Results are presented at the stock region level, where assignment confidence is highest and alignment with Canadian stock management units is strongest (Beacham et al., 2018).</w:t>
                </w:r>
              </w:p>
              <w:p w14:paraId="055D8B83" w14:textId="77777777" w:rsidR="00E60ECE" w:rsidRPr="00A82C7A" w:rsidRDefault="00E60ECE" w:rsidP="00E60ECE">
                <w:pPr>
                  <w:rPr>
                    <w:sz w:val="24"/>
                    <w:szCs w:val="24"/>
                  </w:rPr>
                </w:pPr>
              </w:p>
              <w:p w14:paraId="711F9075" w14:textId="7F0AA978" w:rsidR="001527C3" w:rsidRDefault="00E60ECE" w:rsidP="00E60ECE">
                <w:r w:rsidRPr="00A82C7A">
                  <w:rPr>
                    <w:sz w:val="24"/>
                    <w:szCs w:val="24"/>
                  </w:rPr>
                  <w:t xml:space="preserve">This project generated a </w:t>
                </w:r>
                <w:r w:rsidR="004955A5">
                  <w:rPr>
                    <w:sz w:val="24"/>
                    <w:szCs w:val="24"/>
                  </w:rPr>
                  <w:t>novel</w:t>
                </w:r>
                <w:r w:rsidRPr="00A82C7A">
                  <w:rPr>
                    <w:sz w:val="24"/>
                    <w:szCs w:val="24"/>
                  </w:rPr>
                  <w:t xml:space="preserve">, fishery-independent dataset </w:t>
                </w:r>
                <w:r w:rsidR="00361576">
                  <w:rPr>
                    <w:sz w:val="24"/>
                    <w:szCs w:val="24"/>
                  </w:rPr>
                  <w:t xml:space="preserve">and </w:t>
                </w:r>
                <w:r w:rsidRPr="00A82C7A">
                  <w:rPr>
                    <w:sz w:val="24"/>
                    <w:szCs w:val="24"/>
                  </w:rPr>
                  <w:t>provid</w:t>
                </w:r>
                <w:r w:rsidR="00361576">
                  <w:rPr>
                    <w:sz w:val="24"/>
                    <w:szCs w:val="24"/>
                  </w:rPr>
                  <w:t>ed</w:t>
                </w:r>
                <w:r w:rsidRPr="00A82C7A">
                  <w:rPr>
                    <w:sz w:val="24"/>
                    <w:szCs w:val="24"/>
                  </w:rPr>
                  <w:t xml:space="preserve"> unbiased baseline information on the stock composition</w:t>
                </w:r>
                <w:r w:rsidR="0077599B">
                  <w:rPr>
                    <w:sz w:val="24"/>
                    <w:szCs w:val="24"/>
                  </w:rPr>
                  <w:t xml:space="preserve"> (Figure 3)</w:t>
                </w:r>
                <w:r w:rsidRPr="00A82C7A">
                  <w:rPr>
                    <w:sz w:val="24"/>
                    <w:szCs w:val="24"/>
                  </w:rPr>
                  <w:t>, mark rate</w:t>
                </w:r>
                <w:r w:rsidR="0077599B">
                  <w:rPr>
                    <w:sz w:val="24"/>
                    <w:szCs w:val="24"/>
                  </w:rPr>
                  <w:t xml:space="preserve"> (Figure 2)</w:t>
                </w:r>
                <w:r w:rsidRPr="00A82C7A">
                  <w:rPr>
                    <w:sz w:val="24"/>
                    <w:szCs w:val="24"/>
                  </w:rPr>
                  <w:t>, and legal-size rate of Chinook salmon vulnerable to the recreational fishery, regardless of size or mark status. The dataset also includes detailed spatial and operational metadata linked to each encounter, enabling improved interpretation of results and supporting future analyses. Products from this work include publicly released biological datasets, technical reports, and dashboards that enhance transparency, support management evaluation of MSFs, and improve communication of results to partners and stakeholders</w:t>
                </w:r>
                <w:r>
                  <w:t>.</w:t>
                </w:r>
              </w:p>
            </w:tc>
          </w:sdtContent>
        </w:sdt>
      </w:tr>
    </w:tbl>
    <w:p w14:paraId="09D39AD3" w14:textId="77777777" w:rsidR="00336B9F" w:rsidRDefault="00336B9F" w:rsidP="00D25C67"/>
    <w:p w14:paraId="04C7A654" w14:textId="618462CF" w:rsidR="009C1BC2" w:rsidRDefault="004733C0" w:rsidP="004733C0">
      <w:pPr>
        <w:pStyle w:val="Heading2"/>
      </w:pPr>
      <w:bookmarkStart w:id="4" w:name="_Hlk220331440"/>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bookmarkEnd w:id="4" w:displacedByCustomXml="next"/>
        <w:sdt>
          <w:sdtPr>
            <w:alias w:val="insights"/>
            <w:id w:val="1994683937"/>
            <w:placeholder>
              <w:docPart w:val="87EB2CBC50DF4173B530C228C9C0297D"/>
            </w:placeholder>
          </w:sdtPr>
          <w:sdtEndPr/>
          <w:sdtContent>
            <w:tc>
              <w:tcPr>
                <w:tcW w:w="9350" w:type="dxa"/>
              </w:tcPr>
              <w:p w14:paraId="575E3160" w14:textId="707D87EF" w:rsidR="00E60ECE" w:rsidRDefault="00E60ECE" w:rsidP="00E60ECE">
                <w:r>
                  <w:t xml:space="preserve">The Chinook reference fishery has substantially advanced understanding of Chinook salmon populations encountered by recreational fisheries by providing a baseline of biological data. By sampling Chinook regardless of size or mark status, this project has generated unbiased estimates of stock composition, mark rates, and legal-size rates that are not otherwise observable </w:t>
                </w:r>
                <w:r w:rsidR="004955A5">
                  <w:t>during</w:t>
                </w:r>
                <w:r>
                  <w:t xml:space="preserve"> mark-selective fisher</w:t>
                </w:r>
                <w:r w:rsidR="004955A5">
                  <w:t>y</w:t>
                </w:r>
                <w:r>
                  <w:t xml:space="preserve"> (MSF)</w:t>
                </w:r>
                <w:r w:rsidR="004955A5">
                  <w:t xml:space="preserve"> monitoring</w:t>
                </w:r>
                <w:r>
                  <w:t>. These data improve understanding of which stocks are exposed to recreational fishing activity, including stocks of concern that are can be poorly represented by dockside sampling programs in MSFs</w:t>
                </w:r>
                <w:r w:rsidR="0077599B">
                  <w:t xml:space="preserve"> </w:t>
                </w:r>
                <w:r w:rsidR="0077599B">
                  <w:rPr>
                    <w:sz w:val="24"/>
                    <w:szCs w:val="24"/>
                  </w:rPr>
                  <w:t>(Figure 3)</w:t>
                </w:r>
                <w:r>
                  <w:t>.</w:t>
                </w:r>
              </w:p>
              <w:p w14:paraId="3F049A99" w14:textId="77777777" w:rsidR="00E60ECE" w:rsidRDefault="00E60ECE" w:rsidP="00E60ECE"/>
              <w:p w14:paraId="539914E1" w14:textId="450CB6D6" w:rsidR="00E60ECE" w:rsidRDefault="00D076A7" w:rsidP="00E60ECE">
                <w:r>
                  <w:t>The results</w:t>
                </w:r>
                <w:r w:rsidR="00E60ECE">
                  <w:t xml:space="preserve"> directly inform decision-making, planning, and policy guidance related to MSFs. The data reduce uncertainty around the impacts of MSFs on vulnerable Chinook stocks and allow managers to critically evaluate assumptions underlying current catch monitoring methods, particularly creel-based estimates</w:t>
                </w:r>
                <w:r w:rsidR="0077599B">
                  <w:t xml:space="preserve"> (see Figure 2)</w:t>
                </w:r>
                <w:r w:rsidR="00E60ECE">
                  <w:t>. This improved evidence base supports more informed trade-offs between fishing opportunity and conservation objectives, helps align MSF design with realistic monitoring capacity, and contributes directly to Integrated Fisheries Management Plan (IFMP) development and briefings to the Minister on key management decisions.</w:t>
                </w:r>
              </w:p>
              <w:p w14:paraId="5A85856A" w14:textId="77777777" w:rsidR="00E60ECE" w:rsidRDefault="00E60ECE" w:rsidP="00E60ECE"/>
              <w:p w14:paraId="32C2CFE2" w14:textId="3B19740A" w:rsidR="00E60ECE" w:rsidRDefault="00E60ECE" w:rsidP="00E60ECE">
                <w:r>
                  <w:t>The project also advances understanding of cumulative impacts and pathways of effect by providing detailed encounter data that can be linked to regulations, fishing dynamics and compared to standard catch monitoring methods. In doing so, it highlights key limitations of existing monitoring tools and identifies where biologically meaningful thresholds and risks may be underestimated due to data gaps. Importantly, MSFs inherently constrain the ability to observe impacts on all stocks encountered in the fishery; the reference fishery partially overcomes this limitation and clarifies where residual uncertainty remains.</w:t>
                </w:r>
              </w:p>
              <w:p w14:paraId="6048B5B1" w14:textId="77777777" w:rsidR="00E60ECE" w:rsidRDefault="00E60ECE" w:rsidP="00E60ECE"/>
              <w:p w14:paraId="76ADEA43" w14:textId="4D69682A" w:rsidR="00E60ECE" w:rsidRDefault="00E60ECE" w:rsidP="00E60ECE">
                <w:r>
                  <w:t>Overall, the primary outcome of the Chinook reference fishery is a meaningful reduction in uncertainty in fisheries management. In the absence of robust data, management must rely heavily on the precautionary approach; this project provides the empirical evidence needed to move from precaution driven by uncertainty to precaution informed by data. The insights gained will continue to guide future MSF planning, help determine reference fishery requirements through collaborative processes, and support ongoing improvements to monitoring frameworks based on lessons learned from this unique and valuable dataset.</w:t>
                </w:r>
              </w:p>
              <w:p w14:paraId="62F9A112" w14:textId="77777777" w:rsidR="00E60ECE" w:rsidRDefault="00E60ECE" w:rsidP="00E60ECE"/>
              <w:p w14:paraId="2AEFD392" w14:textId="780E00C5" w:rsidR="00093F19" w:rsidRDefault="00E60ECE" w:rsidP="00E60ECE">
                <w:r>
                  <w:lastRenderedPageBreak/>
                  <w:t>Despite the substantial reduction in uncertainty achieved through the reference fishery, some limitations remain. Analytical power can be constrained in certain spatial and temporal strata where sample sizes are low, particularly for stocks that occur at very low prevalence. Even with robust sampling effort, rare Chinook stocks may not be detected, and absence of detection should not be interpreted as absence of exposure. The reference fishery is not a census, but rather a robust, fishery independent sampling program designed to complement existing creel monitoring. As such, it cannot fully resolve all sources of uncertainty inherent in recreational catch monitoring, but it provides critical context for interpreting estimates and understanding the limitations and assumptions of current monitoring tools.</w:t>
                </w:r>
              </w:p>
            </w:tc>
          </w:sdtContent>
        </w:sdt>
      </w:tr>
    </w:tbl>
    <w:p w14:paraId="4DBCE888" w14:textId="77777777" w:rsidR="00336B9F" w:rsidRDefault="00336B9F" w:rsidP="00336B9F"/>
    <w:p w14:paraId="3D4E7B55" w14:textId="78B57AE0" w:rsidR="00975D51" w:rsidRDefault="00666337" w:rsidP="00666337">
      <w:pPr>
        <w:pStyle w:val="Heading2"/>
      </w:pPr>
      <w:bookmarkStart w:id="5" w:name="_Hlk220334123"/>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bookmarkEnd w:id="5" w:displacedByCustomXml="next"/>
        <w:sdt>
          <w:sdtPr>
            <w:alias w:val="next_steps"/>
            <w:tag w:val="next_steps"/>
            <w:id w:val="1914582671"/>
            <w:placeholder>
              <w:docPart w:val="DefaultPlaceholder_-1854013440"/>
            </w:placeholder>
          </w:sdtPr>
          <w:sdtEndPr/>
          <w:sdtContent>
            <w:tc>
              <w:tcPr>
                <w:tcW w:w="9350" w:type="dxa"/>
              </w:tcPr>
              <w:p w14:paraId="78F8C721" w14:textId="77777777" w:rsidR="00E60ECE" w:rsidRDefault="00E60ECE" w:rsidP="00E60ECE">
                <w:pPr>
                  <w:pStyle w:val="ListParagraph"/>
                  <w:ind w:left="0"/>
                </w:pPr>
                <w:r>
                  <w:t>Key remaining knowledge gaps relate to understanding when and where a reference fishery is necessary versus when existing creel and complementary monitoring tools are sufficient to evaluate MSFs. Future work should focus on using the reference fishery baseline to formally test assumptions underlying creel-based catch and encounter estimates, identify strata where monitoring power is limited, and define thresholds for acceptable uncertainty in MSF evaluations. This will help determine the conditions under which a reference fishery provides the greatest value and where alternative monitoring approaches may be appropriate.</w:t>
                </w:r>
              </w:p>
              <w:p w14:paraId="7AFC3CD0" w14:textId="77777777" w:rsidR="00E60ECE" w:rsidRDefault="00E60ECE" w:rsidP="00E60ECE">
                <w:pPr>
                  <w:pStyle w:val="ListParagraph"/>
                  <w:ind w:left="0"/>
                </w:pPr>
              </w:p>
              <w:p w14:paraId="39B5F345" w14:textId="3632C0F8" w:rsidR="00E60ECE" w:rsidRDefault="00E60ECE" w:rsidP="00E60ECE">
                <w:pPr>
                  <w:pStyle w:val="ListParagraph"/>
                  <w:ind w:left="0"/>
                </w:pPr>
                <w:r>
                  <w:t xml:space="preserve">Project findings should be operationalized by integrating reference fishery outputs directly into MSF planning and assessment processes. The reference fishery </w:t>
                </w:r>
                <w:r w:rsidR="004955A5">
                  <w:t>is</w:t>
                </w:r>
                <w:r>
                  <w:t xml:space="preserve"> an effective tool for evaluating active MSFs and should be considered strategically in future MSF design, particularly for fisheries with high conservation risk or limited observability. Moving forward, closer collaboration between Stock Assessment and Fisheries Management is recommended to align MSF design with monitoring capacity, and to jointly determine reference fishery requirements based on management objectives, data needs, and evaluation metrics. This approach will support efficient use of resources while ensuring MSFs are implemented and assessed using the best available data.</w:t>
                </w:r>
              </w:p>
              <w:p w14:paraId="03A22BD8" w14:textId="144273B6" w:rsidR="00147038" w:rsidRDefault="00147038" w:rsidP="008F3E29"/>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10570" w:type="dxa"/>
        <w:tblLook w:val="04A0" w:firstRow="1" w:lastRow="0" w:firstColumn="1" w:lastColumn="0" w:noHBand="0" w:noVBand="1"/>
      </w:tblPr>
      <w:tblGrid>
        <w:gridCol w:w="10570"/>
      </w:tblGrid>
      <w:tr w:rsidR="00E042EF" w14:paraId="2986EA17" w14:textId="77777777" w:rsidTr="00DC21A4">
        <w:trPr>
          <w:trHeight w:val="1583"/>
        </w:trPr>
        <w:sdt>
          <w:sdtPr>
            <w:rPr>
              <w:rFonts w:ascii="Calibri" w:eastAsia="Yu Mincho" w:hAnsi="Calibri" w:cs="Arial"/>
            </w:rPr>
            <w:alias w:val="tables_figures"/>
            <w:tag w:val="tables_figures"/>
            <w:id w:val="1310597360"/>
            <w:placeholder>
              <w:docPart w:val="87EB2CBC50DF4173B530C228C9C0297D"/>
            </w:placeholder>
          </w:sdtPr>
          <w:sdtEndPr/>
          <w:sdtContent>
            <w:tc>
              <w:tcPr>
                <w:tcW w:w="10570" w:type="dxa"/>
              </w:tcPr>
              <w:p w14:paraId="1466924D" w14:textId="77777777" w:rsidR="00DC21A4" w:rsidRDefault="00DC21A4" w:rsidP="00E042EF">
                <w:pPr>
                  <w:rPr>
                    <w:rFonts w:ascii="Calibri" w:eastAsia="Yu Mincho" w:hAnsi="Calibri" w:cs="Arial"/>
                  </w:rPr>
                </w:pPr>
                <w:r>
                  <w:rPr>
                    <w:noProof/>
                  </w:rPr>
                  <w:drawing>
                    <wp:inline distT="0" distB="0" distL="0" distR="0" wp14:anchorId="4BBD035B" wp14:editId="450C27D9">
                      <wp:extent cx="4932307" cy="4566736"/>
                      <wp:effectExtent l="0" t="0" r="1905" b="5715"/>
                      <wp:docPr id="1880560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60014"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2307" cy="4566736"/>
                              </a:xfrm>
                              <a:prstGeom prst="rect">
                                <a:avLst/>
                              </a:prstGeom>
                            </pic:spPr>
                          </pic:pic>
                        </a:graphicData>
                      </a:graphic>
                    </wp:inline>
                  </w:drawing>
                </w:r>
              </w:p>
              <w:p w14:paraId="3F3FB7AF" w14:textId="3A1C31A9" w:rsidR="00DC21A4" w:rsidRDefault="00DC21A4" w:rsidP="00E042EF">
                <w:r>
                  <w:t>Figure 1</w:t>
                </w:r>
                <w:r w:rsidR="00ED59AF">
                  <w:t>.</w:t>
                </w:r>
                <w:r>
                  <w:t xml:space="preserve"> Map of MSFs with Chinook reference fisheries, MSFs without Chinook reference fisheries and areas without MSFs but with Chinook reference fisheries in the DFO South Coast Area in 202</w:t>
                </w:r>
                <w:r w:rsidR="00CE325C">
                  <w:t>5</w:t>
                </w:r>
                <w:r>
                  <w:t>.</w:t>
                </w:r>
                <w:r w:rsidR="00CE325C">
                  <w:t xml:space="preserve"> Note the reference fishery in </w:t>
                </w:r>
                <w:r w:rsidR="00C97BF5">
                  <w:t>A</w:t>
                </w:r>
                <w:r w:rsidR="00CE325C">
                  <w:t xml:space="preserve">rea 25 was not funded by PSSI. </w:t>
                </w:r>
              </w:p>
              <w:p w14:paraId="57902845" w14:textId="77777777" w:rsidR="00DC21A4" w:rsidRDefault="00DC21A4" w:rsidP="00E042EF">
                <w:pPr>
                  <w:rPr>
                    <w:rFonts w:ascii="Calibri" w:eastAsia="Yu Mincho" w:hAnsi="Calibri" w:cs="Arial"/>
                  </w:rPr>
                </w:pPr>
              </w:p>
              <w:p w14:paraId="683D0A4E" w14:textId="77777777" w:rsidR="00DC21A4" w:rsidRDefault="00DC21A4" w:rsidP="00E042EF">
                <w:pPr>
                  <w:rPr>
                    <w:rFonts w:ascii="Calibri" w:eastAsia="Yu Mincho" w:hAnsi="Calibri" w:cs="Arial"/>
                  </w:rPr>
                </w:pPr>
              </w:p>
              <w:p w14:paraId="4C90C376" w14:textId="50FB0C0D" w:rsidR="00DC21A4" w:rsidRDefault="00DC21A4" w:rsidP="00DC21A4">
                <w:pPr>
                  <w:pStyle w:val="NormalWeb"/>
                </w:pPr>
                <w:r>
                  <w:rPr>
                    <w:noProof/>
                  </w:rPr>
                  <w:lastRenderedPageBreak/>
                  <w:drawing>
                    <wp:inline distT="0" distB="0" distL="0" distR="0" wp14:anchorId="3A8CF49B" wp14:editId="6EE61FCD">
                      <wp:extent cx="5943600" cy="5095875"/>
                      <wp:effectExtent l="0" t="0" r="0" b="9525"/>
                      <wp:docPr id="14719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095875"/>
                              </a:xfrm>
                              <a:prstGeom prst="rect">
                                <a:avLst/>
                              </a:prstGeom>
                              <a:noFill/>
                              <a:ln>
                                <a:noFill/>
                              </a:ln>
                            </pic:spPr>
                          </pic:pic>
                        </a:graphicData>
                      </a:graphic>
                    </wp:inline>
                  </w:drawing>
                </w:r>
              </w:p>
              <w:p w14:paraId="189D02DD" w14:textId="1E7C494E" w:rsidR="00DC21A4" w:rsidRDefault="00DC21A4" w:rsidP="00E042EF">
                <w:r>
                  <w:rPr>
                    <w:rFonts w:ascii="Calibri" w:eastAsia="Yu Mincho" w:hAnsi="Calibri" w:cs="Arial"/>
                  </w:rPr>
                  <w:t>Figure 2</w:t>
                </w:r>
                <w:r w:rsidR="00ED59AF">
                  <w:rPr>
                    <w:rFonts w:ascii="Calibri" w:eastAsia="Yu Mincho" w:hAnsi="Calibri" w:cs="Arial"/>
                  </w:rPr>
                  <w:t>.</w:t>
                </w:r>
                <w:r>
                  <w:rPr>
                    <w:rFonts w:ascii="Calibri" w:eastAsia="Yu Mincho" w:hAnsi="Calibri" w:cs="Arial"/>
                  </w:rPr>
                  <w:t xml:space="preserve"> </w:t>
                </w:r>
                <w:r w:rsidRPr="00AC288D">
                  <w:t>Comparison of creel-estimated mark rates (red) and reference fishery-observed mark rates (blue) by month and MSF in 2024. Error bars represent 95% confidence intervals. “NA” indicates the fishery was not open, while “No data” means the fishery was open but the reference fishery was not operating. Asterisks (*) indicate mixed-bag MSFs (Bute and Toba Inlets); all others are pure mark-selective fisheries.</w:t>
                </w:r>
              </w:p>
              <w:p w14:paraId="056A146F" w14:textId="77777777" w:rsidR="00DC21A4" w:rsidRDefault="00DC21A4" w:rsidP="00E042EF">
                <w:pPr>
                  <w:rPr>
                    <w:rFonts w:ascii="Calibri" w:eastAsia="Yu Mincho" w:hAnsi="Calibri" w:cs="Arial"/>
                  </w:rPr>
                </w:pPr>
              </w:p>
              <w:p w14:paraId="7E2C9C60" w14:textId="77777777" w:rsidR="00DC21A4" w:rsidRDefault="00DC21A4" w:rsidP="00E042EF">
                <w:pPr>
                  <w:rPr>
                    <w:rFonts w:ascii="Calibri" w:eastAsia="Yu Mincho" w:hAnsi="Calibri" w:cs="Arial"/>
                  </w:rPr>
                </w:pPr>
                <w:r w:rsidRPr="00DC21A4">
                  <w:rPr>
                    <w:rFonts w:ascii="Calibri" w:eastAsia="Yu Mincho" w:hAnsi="Calibri" w:cs="Arial"/>
                    <w:noProof/>
                  </w:rPr>
                  <w:lastRenderedPageBreak/>
                  <w:drawing>
                    <wp:inline distT="0" distB="0" distL="0" distR="0" wp14:anchorId="4340E1CB" wp14:editId="553A94E6">
                      <wp:extent cx="5943600" cy="3962400"/>
                      <wp:effectExtent l="0" t="0" r="0" b="0"/>
                      <wp:docPr id="9" name="Picture 8">
                        <a:extLst xmlns:a="http://schemas.openxmlformats.org/drawingml/2006/main">
                          <a:ext uri="{FF2B5EF4-FFF2-40B4-BE49-F238E27FC236}">
                            <a16:creationId xmlns:a16="http://schemas.microsoft.com/office/drawing/2014/main" id="{AC4DB397-854B-2EE1-CCEA-CBEEE42099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C4DB397-854B-2EE1-CCEA-CBEEE42099DF}"/>
                                  </a:ext>
                                </a:extLst>
                              </pic:cNvPr>
                              <pic:cNvPicPr>
                                <a:picLocks noChangeAspect="1"/>
                              </pic:cNvPicPr>
                            </pic:nvPicPr>
                            <pic:blipFill>
                              <a:blip r:embed="rId19" cstate="print">
                                <a:extLst>
                                  <a:ext uri="{28A0092B-C50C-407E-A947-70E740481C1C}">
                                    <a14:useLocalDpi xmlns:a14="http://schemas.microsoft.com/office/drawing/2010/main" val="0"/>
                                  </a:ext>
                                </a:extLst>
                              </a:blip>
                              <a:srcRect/>
                              <a:stretch/>
                            </pic:blipFill>
                            <pic:spPr>
                              <a:xfrm>
                                <a:off x="0" y="0"/>
                                <a:ext cx="5943600" cy="3962400"/>
                              </a:xfrm>
                              <a:prstGeom prst="rect">
                                <a:avLst/>
                              </a:prstGeom>
                            </pic:spPr>
                          </pic:pic>
                        </a:graphicData>
                      </a:graphic>
                    </wp:inline>
                  </w:drawing>
                </w:r>
              </w:p>
              <w:p w14:paraId="1583E8A8" w14:textId="61F5C9B7" w:rsidR="00DC21A4" w:rsidRDefault="00DC21A4" w:rsidP="00DC21A4">
                <w:pPr>
                  <w:spacing w:before="240"/>
                  <w:jc w:val="both"/>
                  <w:rPr>
                    <w:rFonts w:eastAsia="Arial" w:cs="Arial"/>
                  </w:rPr>
                </w:pPr>
                <w:r>
                  <w:rPr>
                    <w:rFonts w:ascii="Calibri" w:eastAsia="Yu Mincho" w:hAnsi="Calibri" w:cs="Arial"/>
                  </w:rPr>
                  <w:t xml:space="preserve">Figure 3: </w:t>
                </w:r>
                <w:r>
                  <w:t xml:space="preserve">Stock composition of legal sized Chinook salmon by month and mark status in all reference fisheries conducted </w:t>
                </w:r>
                <w:r w:rsidR="004B17FF">
                  <w:t xml:space="preserve">within Southern Vancouver Island. </w:t>
                </w:r>
                <w:r>
                  <w:t>Numbers at the top of each bar are the sample size of Chinook caught in the reference fishery in each category.</w:t>
                </w:r>
              </w:p>
              <w:p w14:paraId="1D0A2700" w14:textId="00812B5C" w:rsidR="00E042EF" w:rsidRDefault="00E042EF" w:rsidP="00E042EF">
                <w:pPr>
                  <w:rPr>
                    <w:rFonts w:ascii="Calibri" w:eastAsia="Yu Mincho" w:hAnsi="Calibri" w:cs="Arial"/>
                  </w:rPr>
                </w:pP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20"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096A0BF8" w14:textId="77777777" w:rsidR="0028149A" w:rsidRPr="00ED59AF" w:rsidRDefault="0028149A" w:rsidP="00D62776">
                <w:pPr>
                  <w:pStyle w:val="Bibliography"/>
                </w:pPr>
                <w:r w:rsidRPr="00ED59AF">
                  <w:rPr>
                    <w:rStyle w:val="Strong"/>
                    <w:rFonts w:cstheme="minorHAnsi"/>
                    <w:b w:val="0"/>
                    <w:bCs w:val="0"/>
                  </w:rPr>
                  <w:t xml:space="preserve">Beacham, T.D., Wallace, C., MacConnachie, C., Jonsen, K., McIntosh, B., Candy, J.R., and </w:t>
                </w:r>
                <w:proofErr w:type="spellStart"/>
                <w:r w:rsidRPr="00ED59AF">
                  <w:rPr>
                    <w:rStyle w:val="Strong"/>
                    <w:rFonts w:cstheme="minorHAnsi"/>
                    <w:b w:val="0"/>
                    <w:bCs w:val="0"/>
                  </w:rPr>
                  <w:t>Withler</w:t>
                </w:r>
                <w:proofErr w:type="spellEnd"/>
                <w:r w:rsidRPr="00ED59AF">
                  <w:rPr>
                    <w:rStyle w:val="Strong"/>
                    <w:rFonts w:cstheme="minorHAnsi"/>
                    <w:b w:val="0"/>
                    <w:bCs w:val="0"/>
                  </w:rPr>
                  <w:t>, R.E.</w:t>
                </w:r>
                <w:r w:rsidRPr="00ED59AF">
                  <w:t xml:space="preserve"> 2018. Population and individual identification of Chinook salmon in British Columbia through parentage-based tagging and genetic stock identification with single nucleotide polymorphisms. </w:t>
                </w:r>
                <w:r w:rsidRPr="00ED59AF">
                  <w:rPr>
                    <w:rStyle w:val="Emphasis"/>
                    <w:rFonts w:eastAsiaTheme="majorEastAsia" w:cstheme="minorHAnsi"/>
                  </w:rPr>
                  <w:t>Canadian Journal of Fisheries and Aquatic Sciences</w:t>
                </w:r>
                <w:r w:rsidRPr="00ED59AF">
                  <w:t xml:space="preserve"> </w:t>
                </w:r>
                <w:r w:rsidRPr="00ED59AF">
                  <w:rPr>
                    <w:rStyle w:val="Strong"/>
                    <w:rFonts w:cstheme="minorHAnsi"/>
                    <w:b w:val="0"/>
                    <w:bCs w:val="0"/>
                  </w:rPr>
                  <w:t>75</w:t>
                </w:r>
                <w:r w:rsidRPr="00ED59AF">
                  <w:t xml:space="preserve">(7): 1096–1105. </w:t>
                </w:r>
                <w:hyperlink r:id="rId21" w:tgtFrame="_new" w:history="1">
                  <w:r w:rsidRPr="00ED59AF">
                    <w:rPr>
                      <w:rStyle w:val="Hyperlink"/>
                      <w:rFonts w:cstheme="minorHAnsi"/>
                    </w:rPr>
                    <w:t>https://doi.org/10.1139/cjfas-2017-0168</w:t>
                  </w:r>
                </w:hyperlink>
              </w:p>
              <w:p w14:paraId="537588B9" w14:textId="77777777" w:rsidR="00D62776" w:rsidRDefault="00D62776" w:rsidP="00D62776">
                <w:pPr>
                  <w:pStyle w:val="Bibliography"/>
                  <w:rPr>
                    <w:rStyle w:val="Strong"/>
                    <w:rFonts w:cstheme="minorHAnsi"/>
                    <w:b w:val="0"/>
                    <w:bCs w:val="0"/>
                  </w:rPr>
                </w:pPr>
              </w:p>
              <w:p w14:paraId="298FC293" w14:textId="353F2B86" w:rsidR="0050287C" w:rsidRPr="0028149A" w:rsidRDefault="0028149A" w:rsidP="00D62776">
                <w:pPr>
                  <w:pStyle w:val="Bibliography"/>
                </w:pPr>
                <w:r w:rsidRPr="00ED59AF">
                  <w:rPr>
                    <w:rStyle w:val="Strong"/>
                    <w:rFonts w:cstheme="minorHAnsi"/>
                    <w:b w:val="0"/>
                    <w:bCs w:val="0"/>
                  </w:rPr>
                  <w:t>Beacham, T.D., Jonsen, K., Sutherland, B.J.G., Ramshaw, B., and Rondeau, E.B.</w:t>
                </w:r>
                <w:r w:rsidRPr="00ED59AF">
                  <w:t xml:space="preserve"> 2022. Parentage-based tagging and genetic stock identification applied to assessment of mixed-stock fisheries and hatchery broodstocks for Chinook salmon in British Columbia, Canada. </w:t>
                </w:r>
                <w:r w:rsidRPr="00ED59AF">
                  <w:rPr>
                    <w:rStyle w:val="Emphasis"/>
                    <w:rFonts w:eastAsiaTheme="majorEastAsia" w:cstheme="minorHAnsi"/>
                  </w:rPr>
                  <w:t>Fisheries Research</w:t>
                </w:r>
                <w:r w:rsidRPr="00ED59AF">
                  <w:t xml:space="preserve"> </w:t>
                </w:r>
                <w:r w:rsidRPr="00ED59AF">
                  <w:rPr>
                    <w:rStyle w:val="Strong"/>
                    <w:rFonts w:cstheme="minorHAnsi"/>
                    <w:b w:val="0"/>
                    <w:bCs w:val="0"/>
                  </w:rPr>
                  <w:t>253</w:t>
                </w:r>
                <w:r w:rsidRPr="00ED59AF">
                  <w:t xml:space="preserve">: 106369. </w:t>
                </w:r>
                <w:hyperlink r:id="rId22" w:tgtFrame="_new" w:history="1">
                  <w:r w:rsidRPr="00ED59AF">
                    <w:rPr>
                      <w:rStyle w:val="Hyperlink"/>
                      <w:rFonts w:cstheme="minorHAnsi"/>
                    </w:rPr>
                    <w:t>https://doi.org/10.1016/j.fishres.2022.106369</w:t>
                  </w:r>
                </w:hyperlink>
              </w:p>
            </w:tc>
          </w:sdtContent>
        </w:sdt>
      </w:tr>
    </w:tbl>
    <w:p w14:paraId="178E899D" w14:textId="77777777" w:rsidR="005861AD" w:rsidRPr="00E042EF" w:rsidRDefault="005861AD" w:rsidP="00E042EF">
      <w:pPr>
        <w:rPr>
          <w:rFonts w:ascii="Calibri" w:eastAsia="Yu Mincho" w:hAnsi="Calibri" w:cs="Arial"/>
        </w:rPr>
      </w:pPr>
    </w:p>
    <w:sectPr w:rsidR="005861AD" w:rsidRPr="00E042EF">
      <w:headerReference w:type="even" r:id="rId23"/>
      <w:headerReference w:type="default" r:id="rId24"/>
      <w:head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B7EC" w14:textId="77777777" w:rsidR="00E917A6" w:rsidRDefault="00E917A6" w:rsidP="0002778A">
      <w:pPr>
        <w:spacing w:after="0" w:line="240" w:lineRule="auto"/>
      </w:pPr>
      <w:r>
        <w:separator/>
      </w:r>
    </w:p>
  </w:endnote>
  <w:endnote w:type="continuationSeparator" w:id="0">
    <w:p w14:paraId="4065768C" w14:textId="77777777" w:rsidR="00E917A6" w:rsidRDefault="00E917A6" w:rsidP="0002778A">
      <w:pPr>
        <w:spacing w:after="0" w:line="240" w:lineRule="auto"/>
      </w:pPr>
      <w:r>
        <w:continuationSeparator/>
      </w:r>
    </w:p>
  </w:endnote>
  <w:endnote w:type="continuationNotice" w:id="1">
    <w:p w14:paraId="7C35DFC4" w14:textId="77777777" w:rsidR="00E917A6" w:rsidRDefault="00E917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54EB" w14:textId="77777777" w:rsidR="00E917A6" w:rsidRDefault="00E917A6" w:rsidP="0002778A">
      <w:pPr>
        <w:spacing w:after="0" w:line="240" w:lineRule="auto"/>
      </w:pPr>
      <w:r>
        <w:separator/>
      </w:r>
    </w:p>
  </w:footnote>
  <w:footnote w:type="continuationSeparator" w:id="0">
    <w:p w14:paraId="563BC9F9" w14:textId="77777777" w:rsidR="00E917A6" w:rsidRDefault="00E917A6" w:rsidP="0002778A">
      <w:pPr>
        <w:spacing w:after="0" w:line="240" w:lineRule="auto"/>
      </w:pPr>
      <w:r>
        <w:continuationSeparator/>
      </w:r>
    </w:p>
  </w:footnote>
  <w:footnote w:type="continuationNotice" w:id="1">
    <w:p w14:paraId="3FA693FA" w14:textId="77777777" w:rsidR="00E917A6" w:rsidRDefault="00E917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1368"/>
    <w:multiLevelType w:val="multilevel"/>
    <w:tmpl w:val="3B5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0079D7"/>
    <w:multiLevelType w:val="hybridMultilevel"/>
    <w:tmpl w:val="07E09DE0"/>
    <w:lvl w:ilvl="0" w:tplc="3CA4C39E">
      <w:start w:val="1"/>
      <w:numFmt w:val="bullet"/>
      <w:lvlText w:val="•"/>
      <w:lvlJc w:val="left"/>
      <w:pPr>
        <w:tabs>
          <w:tab w:val="num" w:pos="720"/>
        </w:tabs>
        <w:ind w:left="720" w:hanging="360"/>
      </w:pPr>
      <w:rPr>
        <w:rFonts w:ascii="Arial" w:hAnsi="Arial" w:hint="default"/>
      </w:rPr>
    </w:lvl>
    <w:lvl w:ilvl="1" w:tplc="F7D0736E">
      <w:start w:val="1"/>
      <w:numFmt w:val="bullet"/>
      <w:lvlText w:val="•"/>
      <w:lvlJc w:val="left"/>
      <w:pPr>
        <w:tabs>
          <w:tab w:val="num" w:pos="1440"/>
        </w:tabs>
        <w:ind w:left="1440" w:hanging="360"/>
      </w:pPr>
      <w:rPr>
        <w:rFonts w:ascii="Arial" w:hAnsi="Arial" w:hint="default"/>
      </w:rPr>
    </w:lvl>
    <w:lvl w:ilvl="2" w:tplc="E65AC716" w:tentative="1">
      <w:start w:val="1"/>
      <w:numFmt w:val="bullet"/>
      <w:lvlText w:val="•"/>
      <w:lvlJc w:val="left"/>
      <w:pPr>
        <w:tabs>
          <w:tab w:val="num" w:pos="2160"/>
        </w:tabs>
        <w:ind w:left="2160" w:hanging="360"/>
      </w:pPr>
      <w:rPr>
        <w:rFonts w:ascii="Arial" w:hAnsi="Arial" w:hint="default"/>
      </w:rPr>
    </w:lvl>
    <w:lvl w:ilvl="3" w:tplc="4B2A21B4" w:tentative="1">
      <w:start w:val="1"/>
      <w:numFmt w:val="bullet"/>
      <w:lvlText w:val="•"/>
      <w:lvlJc w:val="left"/>
      <w:pPr>
        <w:tabs>
          <w:tab w:val="num" w:pos="2880"/>
        </w:tabs>
        <w:ind w:left="2880" w:hanging="360"/>
      </w:pPr>
      <w:rPr>
        <w:rFonts w:ascii="Arial" w:hAnsi="Arial" w:hint="default"/>
      </w:rPr>
    </w:lvl>
    <w:lvl w:ilvl="4" w:tplc="55A889F4" w:tentative="1">
      <w:start w:val="1"/>
      <w:numFmt w:val="bullet"/>
      <w:lvlText w:val="•"/>
      <w:lvlJc w:val="left"/>
      <w:pPr>
        <w:tabs>
          <w:tab w:val="num" w:pos="3600"/>
        </w:tabs>
        <w:ind w:left="3600" w:hanging="360"/>
      </w:pPr>
      <w:rPr>
        <w:rFonts w:ascii="Arial" w:hAnsi="Arial" w:hint="default"/>
      </w:rPr>
    </w:lvl>
    <w:lvl w:ilvl="5" w:tplc="DA34A644" w:tentative="1">
      <w:start w:val="1"/>
      <w:numFmt w:val="bullet"/>
      <w:lvlText w:val="•"/>
      <w:lvlJc w:val="left"/>
      <w:pPr>
        <w:tabs>
          <w:tab w:val="num" w:pos="4320"/>
        </w:tabs>
        <w:ind w:left="4320" w:hanging="360"/>
      </w:pPr>
      <w:rPr>
        <w:rFonts w:ascii="Arial" w:hAnsi="Arial" w:hint="default"/>
      </w:rPr>
    </w:lvl>
    <w:lvl w:ilvl="6" w:tplc="F5E87ECA" w:tentative="1">
      <w:start w:val="1"/>
      <w:numFmt w:val="bullet"/>
      <w:lvlText w:val="•"/>
      <w:lvlJc w:val="left"/>
      <w:pPr>
        <w:tabs>
          <w:tab w:val="num" w:pos="5040"/>
        </w:tabs>
        <w:ind w:left="5040" w:hanging="360"/>
      </w:pPr>
      <w:rPr>
        <w:rFonts w:ascii="Arial" w:hAnsi="Arial" w:hint="default"/>
      </w:rPr>
    </w:lvl>
    <w:lvl w:ilvl="7" w:tplc="AFC80FB4" w:tentative="1">
      <w:start w:val="1"/>
      <w:numFmt w:val="bullet"/>
      <w:lvlText w:val="•"/>
      <w:lvlJc w:val="left"/>
      <w:pPr>
        <w:tabs>
          <w:tab w:val="num" w:pos="5760"/>
        </w:tabs>
        <w:ind w:left="5760" w:hanging="360"/>
      </w:pPr>
      <w:rPr>
        <w:rFonts w:ascii="Arial" w:hAnsi="Arial" w:hint="default"/>
      </w:rPr>
    </w:lvl>
    <w:lvl w:ilvl="8" w:tplc="B63E14A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AAC26D7"/>
    <w:multiLevelType w:val="hybridMultilevel"/>
    <w:tmpl w:val="687A8266"/>
    <w:lvl w:ilvl="0" w:tplc="EB22FBE4">
      <w:start w:val="1"/>
      <w:numFmt w:val="bullet"/>
      <w:lvlText w:val="•"/>
      <w:lvlJc w:val="left"/>
      <w:pPr>
        <w:tabs>
          <w:tab w:val="num" w:pos="720"/>
        </w:tabs>
        <w:ind w:left="720" w:hanging="360"/>
      </w:pPr>
      <w:rPr>
        <w:rFonts w:ascii="Arial" w:hAnsi="Arial" w:hint="default"/>
      </w:rPr>
    </w:lvl>
    <w:lvl w:ilvl="1" w:tplc="F238DD5C">
      <w:start w:val="1"/>
      <w:numFmt w:val="bullet"/>
      <w:lvlText w:val="•"/>
      <w:lvlJc w:val="left"/>
      <w:pPr>
        <w:tabs>
          <w:tab w:val="num" w:pos="1440"/>
        </w:tabs>
        <w:ind w:left="1440" w:hanging="360"/>
      </w:pPr>
      <w:rPr>
        <w:rFonts w:ascii="Arial" w:hAnsi="Arial" w:hint="default"/>
      </w:rPr>
    </w:lvl>
    <w:lvl w:ilvl="2" w:tplc="9E20AB98" w:tentative="1">
      <w:start w:val="1"/>
      <w:numFmt w:val="bullet"/>
      <w:lvlText w:val="•"/>
      <w:lvlJc w:val="left"/>
      <w:pPr>
        <w:tabs>
          <w:tab w:val="num" w:pos="2160"/>
        </w:tabs>
        <w:ind w:left="2160" w:hanging="360"/>
      </w:pPr>
      <w:rPr>
        <w:rFonts w:ascii="Arial" w:hAnsi="Arial" w:hint="default"/>
      </w:rPr>
    </w:lvl>
    <w:lvl w:ilvl="3" w:tplc="97808262" w:tentative="1">
      <w:start w:val="1"/>
      <w:numFmt w:val="bullet"/>
      <w:lvlText w:val="•"/>
      <w:lvlJc w:val="left"/>
      <w:pPr>
        <w:tabs>
          <w:tab w:val="num" w:pos="2880"/>
        </w:tabs>
        <w:ind w:left="2880" w:hanging="360"/>
      </w:pPr>
      <w:rPr>
        <w:rFonts w:ascii="Arial" w:hAnsi="Arial" w:hint="default"/>
      </w:rPr>
    </w:lvl>
    <w:lvl w:ilvl="4" w:tplc="56BCF23E" w:tentative="1">
      <w:start w:val="1"/>
      <w:numFmt w:val="bullet"/>
      <w:lvlText w:val="•"/>
      <w:lvlJc w:val="left"/>
      <w:pPr>
        <w:tabs>
          <w:tab w:val="num" w:pos="3600"/>
        </w:tabs>
        <w:ind w:left="3600" w:hanging="360"/>
      </w:pPr>
      <w:rPr>
        <w:rFonts w:ascii="Arial" w:hAnsi="Arial" w:hint="default"/>
      </w:rPr>
    </w:lvl>
    <w:lvl w:ilvl="5" w:tplc="B63CCF52" w:tentative="1">
      <w:start w:val="1"/>
      <w:numFmt w:val="bullet"/>
      <w:lvlText w:val="•"/>
      <w:lvlJc w:val="left"/>
      <w:pPr>
        <w:tabs>
          <w:tab w:val="num" w:pos="4320"/>
        </w:tabs>
        <w:ind w:left="4320" w:hanging="360"/>
      </w:pPr>
      <w:rPr>
        <w:rFonts w:ascii="Arial" w:hAnsi="Arial" w:hint="default"/>
      </w:rPr>
    </w:lvl>
    <w:lvl w:ilvl="6" w:tplc="24B6D710" w:tentative="1">
      <w:start w:val="1"/>
      <w:numFmt w:val="bullet"/>
      <w:lvlText w:val="•"/>
      <w:lvlJc w:val="left"/>
      <w:pPr>
        <w:tabs>
          <w:tab w:val="num" w:pos="5040"/>
        </w:tabs>
        <w:ind w:left="5040" w:hanging="360"/>
      </w:pPr>
      <w:rPr>
        <w:rFonts w:ascii="Arial" w:hAnsi="Arial" w:hint="default"/>
      </w:rPr>
    </w:lvl>
    <w:lvl w:ilvl="7" w:tplc="33128262" w:tentative="1">
      <w:start w:val="1"/>
      <w:numFmt w:val="bullet"/>
      <w:lvlText w:val="•"/>
      <w:lvlJc w:val="left"/>
      <w:pPr>
        <w:tabs>
          <w:tab w:val="num" w:pos="5760"/>
        </w:tabs>
        <w:ind w:left="5760" w:hanging="360"/>
      </w:pPr>
      <w:rPr>
        <w:rFonts w:ascii="Arial" w:hAnsi="Arial" w:hint="default"/>
      </w:rPr>
    </w:lvl>
    <w:lvl w:ilvl="8" w:tplc="7026C9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8" w15:restartNumberingAfterBreak="0">
    <w:nsid w:val="410E7B0C"/>
    <w:multiLevelType w:val="hybridMultilevel"/>
    <w:tmpl w:val="340C0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390427"/>
    <w:multiLevelType w:val="multilevel"/>
    <w:tmpl w:val="FBFE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1380E"/>
    <w:multiLevelType w:val="multilevel"/>
    <w:tmpl w:val="3FC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2FD5F54"/>
    <w:multiLevelType w:val="hybridMultilevel"/>
    <w:tmpl w:val="C0EE2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947711"/>
    <w:multiLevelType w:val="multilevel"/>
    <w:tmpl w:val="4A24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2293F"/>
    <w:multiLevelType w:val="multilevel"/>
    <w:tmpl w:val="119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361456">
    <w:abstractNumId w:val="7"/>
  </w:num>
  <w:num w:numId="2" w16cid:durableId="556165802">
    <w:abstractNumId w:val="6"/>
  </w:num>
  <w:num w:numId="3" w16cid:durableId="348218571">
    <w:abstractNumId w:val="10"/>
  </w:num>
  <w:num w:numId="4" w16cid:durableId="668947069">
    <w:abstractNumId w:val="14"/>
  </w:num>
  <w:num w:numId="5" w16cid:durableId="1970742262">
    <w:abstractNumId w:val="3"/>
  </w:num>
  <w:num w:numId="6" w16cid:durableId="1588999565">
    <w:abstractNumId w:val="0"/>
  </w:num>
  <w:num w:numId="7" w16cid:durableId="427114620">
    <w:abstractNumId w:val="2"/>
  </w:num>
  <w:num w:numId="8" w16cid:durableId="1986618059">
    <w:abstractNumId w:val="9"/>
  </w:num>
  <w:num w:numId="9" w16cid:durableId="1489710675">
    <w:abstractNumId w:val="11"/>
  </w:num>
  <w:num w:numId="10" w16cid:durableId="1604261704">
    <w:abstractNumId w:val="5"/>
  </w:num>
  <w:num w:numId="11" w16cid:durableId="1870871509">
    <w:abstractNumId w:val="4"/>
  </w:num>
  <w:num w:numId="12" w16cid:durableId="1493328750">
    <w:abstractNumId w:val="8"/>
  </w:num>
  <w:num w:numId="13" w16cid:durableId="1100300761">
    <w:abstractNumId w:val="17"/>
  </w:num>
  <w:num w:numId="14" w16cid:durableId="752552532">
    <w:abstractNumId w:val="13"/>
  </w:num>
  <w:num w:numId="15" w16cid:durableId="1237857933">
    <w:abstractNumId w:val="16"/>
  </w:num>
  <w:num w:numId="16" w16cid:durableId="64881909">
    <w:abstractNumId w:val="15"/>
  </w:num>
  <w:num w:numId="17" w16cid:durableId="363555296">
    <w:abstractNumId w:val="1"/>
  </w:num>
  <w:num w:numId="18" w16cid:durableId="16542133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105E"/>
    <w:rsid w:val="00184F9C"/>
    <w:rsid w:val="00185EDD"/>
    <w:rsid w:val="0019248E"/>
    <w:rsid w:val="00193E97"/>
    <w:rsid w:val="001950AA"/>
    <w:rsid w:val="001950D7"/>
    <w:rsid w:val="001962D9"/>
    <w:rsid w:val="00197A7A"/>
    <w:rsid w:val="001A4D03"/>
    <w:rsid w:val="001A53F4"/>
    <w:rsid w:val="001A5684"/>
    <w:rsid w:val="001B0DF6"/>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1887"/>
    <w:rsid w:val="0020590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149A"/>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1576"/>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6EE"/>
    <w:rsid w:val="003C3E13"/>
    <w:rsid w:val="003D3CE9"/>
    <w:rsid w:val="003D4BED"/>
    <w:rsid w:val="003D7018"/>
    <w:rsid w:val="003D72B0"/>
    <w:rsid w:val="003E372F"/>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670D1"/>
    <w:rsid w:val="004733C0"/>
    <w:rsid w:val="00474025"/>
    <w:rsid w:val="00474558"/>
    <w:rsid w:val="00476D8A"/>
    <w:rsid w:val="0048138E"/>
    <w:rsid w:val="004825FE"/>
    <w:rsid w:val="0048760B"/>
    <w:rsid w:val="00493F17"/>
    <w:rsid w:val="00494DED"/>
    <w:rsid w:val="004955A5"/>
    <w:rsid w:val="00496596"/>
    <w:rsid w:val="004A0F07"/>
    <w:rsid w:val="004A6628"/>
    <w:rsid w:val="004B17FF"/>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25701"/>
    <w:rsid w:val="00531608"/>
    <w:rsid w:val="00535FAA"/>
    <w:rsid w:val="005362CC"/>
    <w:rsid w:val="00536FAD"/>
    <w:rsid w:val="00537CFF"/>
    <w:rsid w:val="00547A6C"/>
    <w:rsid w:val="005514B9"/>
    <w:rsid w:val="0055494A"/>
    <w:rsid w:val="00555E9C"/>
    <w:rsid w:val="00557D26"/>
    <w:rsid w:val="00560D40"/>
    <w:rsid w:val="00574BD0"/>
    <w:rsid w:val="00576614"/>
    <w:rsid w:val="005861AD"/>
    <w:rsid w:val="005928C6"/>
    <w:rsid w:val="00594D32"/>
    <w:rsid w:val="005A1467"/>
    <w:rsid w:val="005A3AF5"/>
    <w:rsid w:val="005A5D01"/>
    <w:rsid w:val="005B0B2D"/>
    <w:rsid w:val="005B3D29"/>
    <w:rsid w:val="005B3D94"/>
    <w:rsid w:val="005B3FB7"/>
    <w:rsid w:val="005B4865"/>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5E13"/>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13C4"/>
    <w:rsid w:val="006E27B9"/>
    <w:rsid w:val="006E4482"/>
    <w:rsid w:val="006E5FB0"/>
    <w:rsid w:val="006F1DA3"/>
    <w:rsid w:val="006F37D7"/>
    <w:rsid w:val="007018A0"/>
    <w:rsid w:val="00702C23"/>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1FC4"/>
    <w:rsid w:val="00752592"/>
    <w:rsid w:val="00757AC7"/>
    <w:rsid w:val="007638CE"/>
    <w:rsid w:val="0076540D"/>
    <w:rsid w:val="00770EE9"/>
    <w:rsid w:val="00770FAA"/>
    <w:rsid w:val="00771F91"/>
    <w:rsid w:val="007756AA"/>
    <w:rsid w:val="0077599B"/>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6528"/>
    <w:rsid w:val="008E7553"/>
    <w:rsid w:val="008F021A"/>
    <w:rsid w:val="008F104A"/>
    <w:rsid w:val="008F2F6F"/>
    <w:rsid w:val="008F331D"/>
    <w:rsid w:val="008F3A3D"/>
    <w:rsid w:val="008F3E29"/>
    <w:rsid w:val="008F5C69"/>
    <w:rsid w:val="00902676"/>
    <w:rsid w:val="00902803"/>
    <w:rsid w:val="00903C9B"/>
    <w:rsid w:val="00904FAA"/>
    <w:rsid w:val="00911FC0"/>
    <w:rsid w:val="00915043"/>
    <w:rsid w:val="009219B5"/>
    <w:rsid w:val="00924504"/>
    <w:rsid w:val="009253E6"/>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771EA"/>
    <w:rsid w:val="00983B04"/>
    <w:rsid w:val="00990897"/>
    <w:rsid w:val="00991422"/>
    <w:rsid w:val="009934DE"/>
    <w:rsid w:val="00995A0A"/>
    <w:rsid w:val="009A3DAC"/>
    <w:rsid w:val="009A5BFE"/>
    <w:rsid w:val="009A5FD1"/>
    <w:rsid w:val="009A6082"/>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095"/>
    <w:rsid w:val="00A53D8D"/>
    <w:rsid w:val="00A54D5B"/>
    <w:rsid w:val="00A63D68"/>
    <w:rsid w:val="00A63E8C"/>
    <w:rsid w:val="00A6481C"/>
    <w:rsid w:val="00A64E11"/>
    <w:rsid w:val="00A65213"/>
    <w:rsid w:val="00A7001A"/>
    <w:rsid w:val="00A71A17"/>
    <w:rsid w:val="00A73A04"/>
    <w:rsid w:val="00A76E00"/>
    <w:rsid w:val="00A77F16"/>
    <w:rsid w:val="00A82C7A"/>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E598F"/>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4167"/>
    <w:rsid w:val="00B6739D"/>
    <w:rsid w:val="00B67D31"/>
    <w:rsid w:val="00B819D8"/>
    <w:rsid w:val="00B831E5"/>
    <w:rsid w:val="00B85306"/>
    <w:rsid w:val="00B8579D"/>
    <w:rsid w:val="00B90D5C"/>
    <w:rsid w:val="00B91189"/>
    <w:rsid w:val="00BA0C90"/>
    <w:rsid w:val="00BA5D0F"/>
    <w:rsid w:val="00BA6834"/>
    <w:rsid w:val="00BB1043"/>
    <w:rsid w:val="00BB58F7"/>
    <w:rsid w:val="00BC0B74"/>
    <w:rsid w:val="00BC5745"/>
    <w:rsid w:val="00BD2210"/>
    <w:rsid w:val="00BD4F81"/>
    <w:rsid w:val="00BD7F56"/>
    <w:rsid w:val="00BE046F"/>
    <w:rsid w:val="00BE3F05"/>
    <w:rsid w:val="00BE5438"/>
    <w:rsid w:val="00BE6EC9"/>
    <w:rsid w:val="00BE75A3"/>
    <w:rsid w:val="00BF4EAF"/>
    <w:rsid w:val="00BF75D8"/>
    <w:rsid w:val="00BF7B7E"/>
    <w:rsid w:val="00C00735"/>
    <w:rsid w:val="00C0128F"/>
    <w:rsid w:val="00C0486B"/>
    <w:rsid w:val="00C0753A"/>
    <w:rsid w:val="00C13EC3"/>
    <w:rsid w:val="00C14DD7"/>
    <w:rsid w:val="00C20141"/>
    <w:rsid w:val="00C2526F"/>
    <w:rsid w:val="00C32B2A"/>
    <w:rsid w:val="00C3468C"/>
    <w:rsid w:val="00C35248"/>
    <w:rsid w:val="00C4146C"/>
    <w:rsid w:val="00C42107"/>
    <w:rsid w:val="00C42788"/>
    <w:rsid w:val="00C514E7"/>
    <w:rsid w:val="00C5176E"/>
    <w:rsid w:val="00C5199A"/>
    <w:rsid w:val="00C5489C"/>
    <w:rsid w:val="00C562E6"/>
    <w:rsid w:val="00C62D78"/>
    <w:rsid w:val="00C65C8E"/>
    <w:rsid w:val="00C7760D"/>
    <w:rsid w:val="00C82CA4"/>
    <w:rsid w:val="00C834E6"/>
    <w:rsid w:val="00C83F87"/>
    <w:rsid w:val="00C84406"/>
    <w:rsid w:val="00C87FD3"/>
    <w:rsid w:val="00C901A3"/>
    <w:rsid w:val="00C90C2E"/>
    <w:rsid w:val="00C918DB"/>
    <w:rsid w:val="00C92C7C"/>
    <w:rsid w:val="00C93E1E"/>
    <w:rsid w:val="00C97BF5"/>
    <w:rsid w:val="00CA224C"/>
    <w:rsid w:val="00CA46A3"/>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25C"/>
    <w:rsid w:val="00CE344F"/>
    <w:rsid w:val="00CE4C2F"/>
    <w:rsid w:val="00D01294"/>
    <w:rsid w:val="00D076A7"/>
    <w:rsid w:val="00D07DEC"/>
    <w:rsid w:val="00D136AD"/>
    <w:rsid w:val="00D15AFF"/>
    <w:rsid w:val="00D21D20"/>
    <w:rsid w:val="00D23652"/>
    <w:rsid w:val="00D257EF"/>
    <w:rsid w:val="00D25C67"/>
    <w:rsid w:val="00D51230"/>
    <w:rsid w:val="00D52167"/>
    <w:rsid w:val="00D538D8"/>
    <w:rsid w:val="00D543CB"/>
    <w:rsid w:val="00D57733"/>
    <w:rsid w:val="00D6085B"/>
    <w:rsid w:val="00D62776"/>
    <w:rsid w:val="00D72BCB"/>
    <w:rsid w:val="00D74021"/>
    <w:rsid w:val="00D75049"/>
    <w:rsid w:val="00D7532D"/>
    <w:rsid w:val="00D825FC"/>
    <w:rsid w:val="00D8486A"/>
    <w:rsid w:val="00D84C8D"/>
    <w:rsid w:val="00D869AA"/>
    <w:rsid w:val="00D870E0"/>
    <w:rsid w:val="00D92C24"/>
    <w:rsid w:val="00D94D5B"/>
    <w:rsid w:val="00D95C3C"/>
    <w:rsid w:val="00DB3E89"/>
    <w:rsid w:val="00DB5CFD"/>
    <w:rsid w:val="00DC0F76"/>
    <w:rsid w:val="00DC21A4"/>
    <w:rsid w:val="00DC2920"/>
    <w:rsid w:val="00DC62AD"/>
    <w:rsid w:val="00DC7C38"/>
    <w:rsid w:val="00DD09B4"/>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0214"/>
    <w:rsid w:val="00E22E6D"/>
    <w:rsid w:val="00E236FF"/>
    <w:rsid w:val="00E23958"/>
    <w:rsid w:val="00E25877"/>
    <w:rsid w:val="00E30774"/>
    <w:rsid w:val="00E349BA"/>
    <w:rsid w:val="00E35DDF"/>
    <w:rsid w:val="00E366F4"/>
    <w:rsid w:val="00E4254F"/>
    <w:rsid w:val="00E45F84"/>
    <w:rsid w:val="00E47569"/>
    <w:rsid w:val="00E546A5"/>
    <w:rsid w:val="00E574FF"/>
    <w:rsid w:val="00E60ECE"/>
    <w:rsid w:val="00E61739"/>
    <w:rsid w:val="00E62D31"/>
    <w:rsid w:val="00E634EE"/>
    <w:rsid w:val="00E65471"/>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67EA"/>
    <w:rsid w:val="00EA7617"/>
    <w:rsid w:val="00EA78EC"/>
    <w:rsid w:val="00EA7FF9"/>
    <w:rsid w:val="00EB0723"/>
    <w:rsid w:val="00EB10F0"/>
    <w:rsid w:val="00EB112A"/>
    <w:rsid w:val="00EB2EE3"/>
    <w:rsid w:val="00EB45A4"/>
    <w:rsid w:val="00EC56E3"/>
    <w:rsid w:val="00ED59AF"/>
    <w:rsid w:val="00EE070F"/>
    <w:rsid w:val="00EE0A85"/>
    <w:rsid w:val="00EE0AF5"/>
    <w:rsid w:val="00EE2DC7"/>
    <w:rsid w:val="00EE2E58"/>
    <w:rsid w:val="00EE66A8"/>
    <w:rsid w:val="00EE7B1A"/>
    <w:rsid w:val="00EE7DB0"/>
    <w:rsid w:val="00EF0275"/>
    <w:rsid w:val="00F01EFE"/>
    <w:rsid w:val="00F033D4"/>
    <w:rsid w:val="00F04E6D"/>
    <w:rsid w:val="00F14B6A"/>
    <w:rsid w:val="00F1617C"/>
    <w:rsid w:val="00F206AB"/>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82901"/>
    <w:rsid w:val="00F90442"/>
    <w:rsid w:val="00F904AA"/>
    <w:rsid w:val="00F923D0"/>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0FF7E58"/>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776"/>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525701"/>
    <w:rPr>
      <w:color w:val="954F72" w:themeColor="followedHyperlink"/>
      <w:u w:val="single"/>
    </w:rPr>
  </w:style>
  <w:style w:type="paragraph" w:customStyle="1" w:styleId="xxmsonormal">
    <w:name w:val="x_xmsonormal"/>
    <w:basedOn w:val="Normal"/>
    <w:rsid w:val="00AE598F"/>
    <w:pPr>
      <w:spacing w:after="0" w:line="240" w:lineRule="auto"/>
    </w:pPr>
    <w:rPr>
      <w:rFonts w:ascii="Calibri" w:eastAsiaTheme="minorHAnsi" w:hAnsi="Calibri" w:cs="Calibri"/>
    </w:rPr>
  </w:style>
  <w:style w:type="paragraph" w:styleId="NormalWeb">
    <w:name w:val="Normal (Web)"/>
    <w:basedOn w:val="Normal"/>
    <w:uiPriority w:val="99"/>
    <w:unhideWhenUsed/>
    <w:rsid w:val="00DD09B4"/>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D62776"/>
    <w:pPr>
      <w:spacing w:after="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67385">
      <w:bodyDiv w:val="1"/>
      <w:marLeft w:val="0"/>
      <w:marRight w:val="0"/>
      <w:marTop w:val="0"/>
      <w:marBottom w:val="0"/>
      <w:divBdr>
        <w:top w:val="none" w:sz="0" w:space="0" w:color="auto"/>
        <w:left w:val="none" w:sz="0" w:space="0" w:color="auto"/>
        <w:bottom w:val="none" w:sz="0" w:space="0" w:color="auto"/>
        <w:right w:val="none" w:sz="0" w:space="0" w:color="auto"/>
      </w:divBdr>
    </w:div>
    <w:div w:id="260845563">
      <w:bodyDiv w:val="1"/>
      <w:marLeft w:val="0"/>
      <w:marRight w:val="0"/>
      <w:marTop w:val="0"/>
      <w:marBottom w:val="0"/>
      <w:divBdr>
        <w:top w:val="none" w:sz="0" w:space="0" w:color="auto"/>
        <w:left w:val="none" w:sz="0" w:space="0" w:color="auto"/>
        <w:bottom w:val="none" w:sz="0" w:space="0" w:color="auto"/>
        <w:right w:val="none" w:sz="0" w:space="0" w:color="auto"/>
      </w:divBdr>
      <w:divsChild>
        <w:div w:id="786579274">
          <w:marLeft w:val="1080"/>
          <w:marRight w:val="0"/>
          <w:marTop w:val="100"/>
          <w:marBottom w:val="0"/>
          <w:divBdr>
            <w:top w:val="none" w:sz="0" w:space="0" w:color="auto"/>
            <w:left w:val="none" w:sz="0" w:space="0" w:color="auto"/>
            <w:bottom w:val="none" w:sz="0" w:space="0" w:color="auto"/>
            <w:right w:val="none" w:sz="0" w:space="0" w:color="auto"/>
          </w:divBdr>
        </w:div>
      </w:divsChild>
    </w:div>
    <w:div w:id="298149776">
      <w:bodyDiv w:val="1"/>
      <w:marLeft w:val="0"/>
      <w:marRight w:val="0"/>
      <w:marTop w:val="0"/>
      <w:marBottom w:val="0"/>
      <w:divBdr>
        <w:top w:val="none" w:sz="0" w:space="0" w:color="auto"/>
        <w:left w:val="none" w:sz="0" w:space="0" w:color="auto"/>
        <w:bottom w:val="none" w:sz="0" w:space="0" w:color="auto"/>
        <w:right w:val="none" w:sz="0" w:space="0" w:color="auto"/>
      </w:divBdr>
    </w:div>
    <w:div w:id="558856428">
      <w:bodyDiv w:val="1"/>
      <w:marLeft w:val="0"/>
      <w:marRight w:val="0"/>
      <w:marTop w:val="0"/>
      <w:marBottom w:val="0"/>
      <w:divBdr>
        <w:top w:val="none" w:sz="0" w:space="0" w:color="auto"/>
        <w:left w:val="none" w:sz="0" w:space="0" w:color="auto"/>
        <w:bottom w:val="none" w:sz="0" w:space="0" w:color="auto"/>
        <w:right w:val="none" w:sz="0" w:space="0" w:color="auto"/>
      </w:divBdr>
      <w:divsChild>
        <w:div w:id="2068608826">
          <w:marLeft w:val="1080"/>
          <w:marRight w:val="0"/>
          <w:marTop w:val="100"/>
          <w:marBottom w:val="0"/>
          <w:divBdr>
            <w:top w:val="none" w:sz="0" w:space="0" w:color="auto"/>
            <w:left w:val="none" w:sz="0" w:space="0" w:color="auto"/>
            <w:bottom w:val="none" w:sz="0" w:space="0" w:color="auto"/>
            <w:right w:val="none" w:sz="0" w:space="0" w:color="auto"/>
          </w:divBdr>
        </w:div>
      </w:divsChild>
    </w:div>
    <w:div w:id="613638825">
      <w:bodyDiv w:val="1"/>
      <w:marLeft w:val="0"/>
      <w:marRight w:val="0"/>
      <w:marTop w:val="0"/>
      <w:marBottom w:val="0"/>
      <w:divBdr>
        <w:top w:val="none" w:sz="0" w:space="0" w:color="auto"/>
        <w:left w:val="none" w:sz="0" w:space="0" w:color="auto"/>
        <w:bottom w:val="none" w:sz="0" w:space="0" w:color="auto"/>
        <w:right w:val="none" w:sz="0" w:space="0" w:color="auto"/>
      </w:divBdr>
    </w:div>
    <w:div w:id="785389711">
      <w:bodyDiv w:val="1"/>
      <w:marLeft w:val="0"/>
      <w:marRight w:val="0"/>
      <w:marTop w:val="0"/>
      <w:marBottom w:val="0"/>
      <w:divBdr>
        <w:top w:val="none" w:sz="0" w:space="0" w:color="auto"/>
        <w:left w:val="none" w:sz="0" w:space="0" w:color="auto"/>
        <w:bottom w:val="none" w:sz="0" w:space="0" w:color="auto"/>
        <w:right w:val="none" w:sz="0" w:space="0" w:color="auto"/>
      </w:divBdr>
    </w:div>
    <w:div w:id="791020160">
      <w:bodyDiv w:val="1"/>
      <w:marLeft w:val="0"/>
      <w:marRight w:val="0"/>
      <w:marTop w:val="0"/>
      <w:marBottom w:val="0"/>
      <w:divBdr>
        <w:top w:val="none" w:sz="0" w:space="0" w:color="auto"/>
        <w:left w:val="none" w:sz="0" w:space="0" w:color="auto"/>
        <w:bottom w:val="none" w:sz="0" w:space="0" w:color="auto"/>
        <w:right w:val="none" w:sz="0" w:space="0" w:color="auto"/>
      </w:divBdr>
    </w:div>
    <w:div w:id="1320310966">
      <w:bodyDiv w:val="1"/>
      <w:marLeft w:val="0"/>
      <w:marRight w:val="0"/>
      <w:marTop w:val="0"/>
      <w:marBottom w:val="0"/>
      <w:divBdr>
        <w:top w:val="none" w:sz="0" w:space="0" w:color="auto"/>
        <w:left w:val="none" w:sz="0" w:space="0" w:color="auto"/>
        <w:bottom w:val="none" w:sz="0" w:space="0" w:color="auto"/>
        <w:right w:val="none" w:sz="0" w:space="0" w:color="auto"/>
      </w:divBdr>
    </w:div>
    <w:div w:id="1419134609">
      <w:bodyDiv w:val="1"/>
      <w:marLeft w:val="0"/>
      <w:marRight w:val="0"/>
      <w:marTop w:val="0"/>
      <w:marBottom w:val="0"/>
      <w:divBdr>
        <w:top w:val="none" w:sz="0" w:space="0" w:color="auto"/>
        <w:left w:val="none" w:sz="0" w:space="0" w:color="auto"/>
        <w:bottom w:val="none" w:sz="0" w:space="0" w:color="auto"/>
        <w:right w:val="none" w:sz="0" w:space="0" w:color="auto"/>
      </w:divBdr>
    </w:div>
    <w:div w:id="1824927770">
      <w:bodyDiv w:val="1"/>
      <w:marLeft w:val="0"/>
      <w:marRight w:val="0"/>
      <w:marTop w:val="0"/>
      <w:marBottom w:val="0"/>
      <w:divBdr>
        <w:top w:val="none" w:sz="0" w:space="0" w:color="auto"/>
        <w:left w:val="none" w:sz="0" w:space="0" w:color="auto"/>
        <w:bottom w:val="none" w:sz="0" w:space="0" w:color="auto"/>
        <w:right w:val="none" w:sz="0" w:space="0" w:color="auto"/>
      </w:divBdr>
    </w:div>
    <w:div w:id="1926306465">
      <w:bodyDiv w:val="1"/>
      <w:marLeft w:val="0"/>
      <w:marRight w:val="0"/>
      <w:marTop w:val="0"/>
      <w:marBottom w:val="0"/>
      <w:divBdr>
        <w:top w:val="none" w:sz="0" w:space="0" w:color="auto"/>
        <w:left w:val="none" w:sz="0" w:space="0" w:color="auto"/>
        <w:bottom w:val="none" w:sz="0" w:space="0" w:color="auto"/>
        <w:right w:val="none" w:sz="0" w:space="0" w:color="auto"/>
      </w:divBdr>
    </w:div>
    <w:div w:id="2044164303">
      <w:bodyDiv w:val="1"/>
      <w:marLeft w:val="0"/>
      <w:marRight w:val="0"/>
      <w:marTop w:val="0"/>
      <w:marBottom w:val="0"/>
      <w:divBdr>
        <w:top w:val="none" w:sz="0" w:space="0" w:color="auto"/>
        <w:left w:val="none" w:sz="0" w:space="0" w:color="auto"/>
        <w:bottom w:val="none" w:sz="0" w:space="0" w:color="auto"/>
        <w:right w:val="none" w:sz="0" w:space="0" w:color="auto"/>
      </w:divBdr>
    </w:div>
    <w:div w:id="2065903149">
      <w:bodyDiv w:val="1"/>
      <w:marLeft w:val="0"/>
      <w:marRight w:val="0"/>
      <w:marTop w:val="0"/>
      <w:marBottom w:val="0"/>
      <w:divBdr>
        <w:top w:val="none" w:sz="0" w:space="0" w:color="auto"/>
        <w:left w:val="none" w:sz="0" w:space="0" w:color="auto"/>
        <w:bottom w:val="none" w:sz="0" w:space="0" w:color="auto"/>
        <w:right w:val="none" w:sz="0" w:space="0" w:color="auto"/>
      </w:divBdr>
      <w:divsChild>
        <w:div w:id="77093013">
          <w:marLeft w:val="1080"/>
          <w:marRight w:val="0"/>
          <w:marTop w:val="100"/>
          <w:marBottom w:val="0"/>
          <w:divBdr>
            <w:top w:val="none" w:sz="0" w:space="0" w:color="auto"/>
            <w:left w:val="none" w:sz="0" w:space="0" w:color="auto"/>
            <w:bottom w:val="none" w:sz="0" w:space="0" w:color="auto"/>
            <w:right w:val="none" w:sz="0" w:space="0" w:color="auto"/>
          </w:divBdr>
        </w:div>
        <w:div w:id="346644036">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aves-vagues.dfo-mpo.gc.ca/library-bibliotheque/41298299.pdf" TargetMode="External"/><Relationship Id="rId18" Type="http://schemas.openxmlformats.org/officeDocument/2006/relationships/image" Target="media/image2.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1139/cjfas-2017-0168" TargetMode="External"/><Relationship Id="rId7" Type="http://schemas.openxmlformats.org/officeDocument/2006/relationships/settings" Target="settings.xml"/><Relationship Id="rId12" Type="http://schemas.openxmlformats.org/officeDocument/2006/relationships/hyperlink" Target="https://waves-vagues.dfo-mpo.gc.ca/library-bibliotheque/41254193.pdf" TargetMode="Externa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islandfishermanmagazine.com/chinook-msf-what-does-the-reference-data-say/" TargetMode="External"/><Relationship Id="rId20" Type="http://schemas.openxmlformats.org/officeDocument/2006/relationships/hyperlink" Target="https://cdnsciencepub.com/journal/cjfas/autho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can01.safelinks.protection.outlook.com/?url=https%3A%2F%2Ffisheries-map-gallery-crm.hub.arcgis.com%2Fapps%2F7388059c6a724e82978f93acd76ac018%2Fexplore&amp;data=05%7C02%7CPhil.Lemp%40dfo-mpo.gc.ca%7Ceed838cd8f9f4746129708de53b771ae%7C1594fdaea1d94405915d011467234338%7C0%7C0%7C639040244535179911%7CUnknown%7CTWFpbGZsb3d8eyJFbXB0eU1hcGkiOnRydWUsIlYiOiIwLjAuMDAwMCIsIlAiOiJXaW4zMiIsIkFOIjoiTWFpbCIsIldUIjoyfQ%3D%3D%7C0%7C%7C%7C&amp;sdata=Uj2rD%2BwrshozXgwJbFwBiEID1xH5dhXzuDE7DQYRcBI%3D&amp;reserved=0"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canada.ca/data/en/dataset/61c8c2cd-ca46-457f-aaf2-052d20e1622d" TargetMode="External"/><Relationship Id="rId22" Type="http://schemas.openxmlformats.org/officeDocument/2006/relationships/hyperlink" Target="https://doi.org/10.1016/j.fishres.2022.106369"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FE6C5B"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FE6C5B"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FE6C5B"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FE6C5B"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FE6C5B" w:rsidRDefault="001B1FA9" w:rsidP="001B1FA9">
          <w:pPr>
            <w:pStyle w:val="D2AF34734BDE4F94B886FCE5E82E5E2B"/>
          </w:pPr>
          <w:r w:rsidRPr="0056794F">
            <w:rPr>
              <w:rStyle w:val="PlaceholderText"/>
            </w:rPr>
            <w:t>Click or tap here to enter text.</w:t>
          </w:r>
        </w:p>
      </w:docPartBody>
    </w:docPart>
    <w:docPart>
      <w:docPartPr>
        <w:name w:val="2F5A2AE3FF694C21A2C542C0BD488D89"/>
        <w:category>
          <w:name w:val="General"/>
          <w:gallery w:val="placeholder"/>
        </w:category>
        <w:types>
          <w:type w:val="bbPlcHdr"/>
        </w:types>
        <w:behaviors>
          <w:behavior w:val="content"/>
        </w:behaviors>
        <w:guid w:val="{9D5ACB55-A404-4FB8-87B3-DC86991D557E}"/>
      </w:docPartPr>
      <w:docPartBody>
        <w:p w:rsidR="006B021F" w:rsidRDefault="006B021F" w:rsidP="006B021F">
          <w:pPr>
            <w:pStyle w:val="2F5A2AE3FF694C21A2C542C0BD488D89"/>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A7497"/>
    <w:rsid w:val="001B1FA9"/>
    <w:rsid w:val="001E25C7"/>
    <w:rsid w:val="001F6F44"/>
    <w:rsid w:val="00352A94"/>
    <w:rsid w:val="0047065E"/>
    <w:rsid w:val="005C10AD"/>
    <w:rsid w:val="005E3692"/>
    <w:rsid w:val="006353EF"/>
    <w:rsid w:val="006B021F"/>
    <w:rsid w:val="006F3313"/>
    <w:rsid w:val="00900B46"/>
    <w:rsid w:val="00903C9B"/>
    <w:rsid w:val="00917904"/>
    <w:rsid w:val="0097270C"/>
    <w:rsid w:val="009A6082"/>
    <w:rsid w:val="00BF75D8"/>
    <w:rsid w:val="00C0486B"/>
    <w:rsid w:val="00C7647D"/>
    <w:rsid w:val="00DB5CFD"/>
    <w:rsid w:val="00E20214"/>
    <w:rsid w:val="00E40202"/>
    <w:rsid w:val="00F62DCF"/>
    <w:rsid w:val="00FE6C5B"/>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21F"/>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 w:type="paragraph" w:customStyle="1" w:styleId="2F5A2AE3FF694C21A2C542C0BD488D89">
    <w:name w:val="2F5A2AE3FF694C21A2C542C0BD488D89"/>
    <w:rsid w:val="006B021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5" ma:contentTypeDescription="Create a new document." ma:contentTypeScope="" ma:versionID="6b8805a1b0743e175fd13f66dd395df7">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71283a69954235b0ea5e31879caacbc8"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8F832ECE-5DFE-49D6-8E7A-B5ADEA3E6D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2924</Words>
  <Characters>16671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5</cp:revision>
  <dcterms:created xsi:type="dcterms:W3CDTF">2026-02-18T21:31:00Z</dcterms:created>
  <dcterms:modified xsi:type="dcterms:W3CDTF">2026-02-18T22:27:00Z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