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5B0884A9" w:rsidR="00AB24B1" w:rsidRDefault="00675BDA" w:rsidP="00D8486A">
                <w:pPr>
                  <w:rPr>
                    <w:sz w:val="24"/>
                    <w:szCs w:val="24"/>
                  </w:rPr>
                </w:pPr>
                <w:r>
                  <w:rPr>
                    <w:sz w:val="24"/>
                    <w:szCs w:val="24"/>
                  </w:rPr>
                  <w:t>2417</w:t>
                </w:r>
              </w:p>
            </w:tc>
          </w:sdtContent>
        </w:sdt>
        <w:tc>
          <w:tcPr>
            <w:tcW w:w="6295" w:type="dxa"/>
          </w:tcPr>
          <w:p w14:paraId="0CDCF902" w14:textId="62DF8364" w:rsidR="00AB24B1" w:rsidRPr="00FA2F3D" w:rsidRDefault="00FA2F3D" w:rsidP="00D8486A">
            <w:pPr>
              <w:rPr>
                <w:b/>
                <w:bCs/>
                <w:sz w:val="24"/>
                <w:szCs w:val="24"/>
              </w:rPr>
            </w:pPr>
            <w:r w:rsidRPr="00FA2F3D">
              <w:rPr>
                <w:b/>
                <w:bCs/>
                <w:sz w:val="24"/>
                <w:szCs w:val="24"/>
                <w:lang w:val="en-CA"/>
              </w:rPr>
              <w:t>Optimization of feeds used in the hatchery production of Pacific Salmon</w:t>
            </w:r>
          </w:p>
        </w:tc>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28D2B40B" w:rsidR="00010237" w:rsidRDefault="0009417A" w:rsidP="00D8486A">
                <w:pPr>
                  <w:rPr>
                    <w:sz w:val="24"/>
                    <w:szCs w:val="24"/>
                  </w:rPr>
                </w:pPr>
                <w:r>
                  <w:rPr>
                    <w:sz w:val="24"/>
                    <w:szCs w:val="24"/>
                  </w:rPr>
                  <w:t>Dr. Erika Eliason; Dr. Ian Forster</w:t>
                </w:r>
                <w:r w:rsidR="00E7636B">
                  <w:rPr>
                    <w:sz w:val="24"/>
                    <w:szCs w:val="24"/>
                  </w:rPr>
                  <w:t xml:space="preserve">; </w:t>
                </w:r>
                <w:r w:rsidR="009548F0">
                  <w:rPr>
                    <w:sz w:val="24"/>
                    <w:szCs w:val="24"/>
                  </w:rPr>
                  <w:t>Greig Oldford</w:t>
                </w:r>
              </w:p>
            </w:tc>
          </w:sdtContent>
        </w:sdt>
        <w:sdt>
          <w:sdtPr>
            <w:rPr>
              <w:sz w:val="24"/>
              <w:szCs w:val="24"/>
            </w:rPr>
            <w:alias w:val="collaborations"/>
            <w:tag w:val="collaborations"/>
            <w:id w:val="-2019990344"/>
            <w:placeholder>
              <w:docPart w:val="DefaultPlaceholder_-1854013440"/>
            </w:placeholder>
          </w:sdtPr>
          <w:sdtEndPr/>
          <w:sdtContent>
            <w:tc>
              <w:tcPr>
                <w:tcW w:w="6295" w:type="dxa"/>
                <w:vMerge w:val="restart"/>
              </w:tcPr>
              <w:p w14:paraId="789F7103" w14:textId="727F9159" w:rsidR="00010237" w:rsidRDefault="00E84598" w:rsidP="00D8486A">
                <w:pPr>
                  <w:rPr>
                    <w:sz w:val="24"/>
                    <w:szCs w:val="24"/>
                  </w:rPr>
                </w:pPr>
                <w:r>
                  <w:rPr>
                    <w:sz w:val="24"/>
                    <w:szCs w:val="24"/>
                  </w:rPr>
                  <w:t>Salmon Enhancement Program Hatcheries</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66CC188F" w:rsidR="00010237" w:rsidRDefault="00E7636B" w:rsidP="00D8486A">
                <w:pPr>
                  <w:rPr>
                    <w:sz w:val="24"/>
                    <w:szCs w:val="24"/>
                  </w:rPr>
                </w:pPr>
                <w:r>
                  <w:rPr>
                    <w:sz w:val="24"/>
                    <w:szCs w:val="24"/>
                  </w:rPr>
                  <w:t>West Vancouver, BC</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EndPr/>
          <w:sdtContent>
            <w:tc>
              <w:tcPr>
                <w:tcW w:w="4135" w:type="dxa"/>
              </w:tcPr>
              <w:p w14:paraId="5C9FE740" w14:textId="0076D435" w:rsidR="00D75049" w:rsidRDefault="002B58B6" w:rsidP="00FC34B0">
                <w:r w:rsidRPr="002B58B6">
                  <w:t>Chinook salmon (</w:t>
                </w:r>
                <w:r w:rsidRPr="002B58B6">
                  <w:rPr>
                    <w:i/>
                    <w:iCs/>
                  </w:rPr>
                  <w:t>Oncorhynchus tshawytscha</w:t>
                </w:r>
                <w:r w:rsidRPr="002B58B6">
                  <w:t>)</w:t>
                </w:r>
              </w:p>
            </w:tc>
          </w:sdtContent>
        </w:sdt>
        <w:sdt>
          <w:sdtPr>
            <w:alias w:val="waterbodies"/>
            <w:tag w:val="waterbodies"/>
            <w:id w:val="212706360"/>
            <w:placeholder>
              <w:docPart w:val="DefaultPlaceholder_-1854013440"/>
            </w:placeholder>
            <w:showingPlcHdr/>
          </w:sdtPr>
          <w:sdtEndPr/>
          <w:sdtContent>
            <w:tc>
              <w:tcPr>
                <w:tcW w:w="4135" w:type="dxa"/>
              </w:tcPr>
              <w:p w14:paraId="12484633" w14:textId="2674D11F" w:rsidR="00D75049" w:rsidRDefault="00D75049" w:rsidP="00FC34B0">
                <w:r w:rsidRPr="0056794F">
                  <w:rPr>
                    <w:rStyle w:val="PlaceholderText"/>
                  </w:rPr>
                  <w:t>Click or tap here to enter text.</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496E084D" w:rsidR="00D75049" w:rsidRDefault="000C55A4" w:rsidP="00FC34B0">
                <w:r w:rsidRPr="000C55A4">
                  <w:t>First feeding to release</w:t>
                </w:r>
              </w:p>
            </w:tc>
          </w:sdtContent>
        </w:sdt>
        <w:sdt>
          <w:sdtPr>
            <w:alias w:val="region"/>
            <w:tag w:val="region"/>
            <w:id w:val="-89314248"/>
            <w:placeholder>
              <w:docPart w:val="DefaultPlaceholder_-1854013440"/>
            </w:placeholder>
          </w:sdtPr>
          <w:sdtEndPr/>
          <w:sdtContent>
            <w:tc>
              <w:tcPr>
                <w:tcW w:w="4135" w:type="dxa"/>
              </w:tcPr>
              <w:p w14:paraId="4EF00D67" w14:textId="685641E5" w:rsidR="00D75049" w:rsidRDefault="00F51182" w:rsidP="00FC34B0">
                <w:r>
                  <w:t>British Columbia</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EndPr/>
          <w:sdtContent>
            <w:tc>
              <w:tcPr>
                <w:tcW w:w="4135" w:type="dxa"/>
              </w:tcPr>
              <w:p w14:paraId="0B8A9263" w14:textId="37BCC2CE" w:rsidR="00A73A04" w:rsidRDefault="0035550F" w:rsidP="00FC34B0">
                <w:r>
                  <w:t>Stream-type and ocean-type chinook from Chilliwack River Hatchery</w:t>
                </w:r>
              </w:p>
            </w:tc>
          </w:sdtContent>
        </w:sdt>
        <w:sdt>
          <w:sdtPr>
            <w:alias w:val="population"/>
            <w:tag w:val="population"/>
            <w:id w:val="1093583985"/>
            <w:placeholder>
              <w:docPart w:val="DefaultPlaceholder_-1854013440"/>
            </w:placeholder>
            <w:showingPlcHdr/>
          </w:sdtPr>
          <w:sdtEnd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End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EndPr/>
          <w:sdtContent>
            <w:tc>
              <w:tcPr>
                <w:tcW w:w="5000" w:type="pct"/>
              </w:tcPr>
              <w:p w14:paraId="296DD6DD" w14:textId="626398F8" w:rsidR="00D6085B" w:rsidRDefault="00675BDA" w:rsidP="00B06488">
                <w:r>
                  <w:t>Technical Report: Effect of transition diet on smoltification, growth and survival in Chinook salmon (in progress)</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tc>
          <w:tcPr>
            <w:tcW w:w="5000" w:type="pct"/>
          </w:tcPr>
          <w:p w14:paraId="514C2022" w14:textId="7B840A1D" w:rsidR="00E236FF" w:rsidRPr="00E236FF" w:rsidRDefault="00DE06A2" w:rsidP="00B06488">
            <w:pPr>
              <w:rPr>
                <w:b/>
                <w:bCs/>
              </w:rPr>
            </w:pPr>
            <w:r w:rsidRPr="00DE06A2">
              <w:rPr>
                <w:b/>
                <w:bCs/>
              </w:rPr>
              <w:t>P:\10. Nearshore\</w:t>
            </w:r>
            <w:proofErr w:type="spellStart"/>
            <w:r w:rsidRPr="00DE06A2">
              <w:rPr>
                <w:b/>
                <w:bCs/>
              </w:rPr>
              <w:t>Nut_Lab</w:t>
            </w:r>
            <w:proofErr w:type="spellEnd"/>
            <w:r w:rsidRPr="00DE06A2">
              <w:rPr>
                <w:b/>
                <w:bCs/>
              </w:rPr>
              <w:t xml:space="preserve">\Projects\2023-03 </w:t>
            </w:r>
            <w:proofErr w:type="spellStart"/>
            <w:r w:rsidRPr="00DE06A2">
              <w:rPr>
                <w:b/>
                <w:bCs/>
              </w:rPr>
              <w:t>PSSI_Hatchery_Feeds</w:t>
            </w:r>
            <w:proofErr w:type="spellEnd"/>
            <w:r w:rsidRPr="00DE06A2">
              <w:rPr>
                <w:b/>
                <w:bCs/>
              </w:rPr>
              <w:t>\Dataset and results</w:t>
            </w:r>
            <w:r>
              <w:rPr>
                <w:b/>
                <w:bCs/>
              </w:rPr>
              <w:t xml:space="preserve"> </w:t>
            </w:r>
          </w:p>
        </w:tc>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EndPr/>
          <w:sdtContent>
            <w:tc>
              <w:tcPr>
                <w:tcW w:w="5000" w:type="pct"/>
              </w:tcPr>
              <w:p w14:paraId="04E29955" w14:textId="1FF49DE3" w:rsidR="00E236FF" w:rsidRPr="00E236FF" w:rsidRDefault="000625D8" w:rsidP="00B06488">
                <w:pPr>
                  <w:rPr>
                    <w:b/>
                    <w:bCs/>
                  </w:rPr>
                </w:pPr>
                <w:r>
                  <w:rPr>
                    <w:b/>
                    <w:bCs/>
                  </w:rPr>
                  <w:t xml:space="preserve">The data are stored on P-drive </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dtPr>
          <w:sdtEndPr/>
          <w:sdtContent>
            <w:tc>
              <w:tcPr>
                <w:tcW w:w="5000" w:type="pct"/>
              </w:tcPr>
              <w:p w14:paraId="15A59087" w14:textId="201A282A" w:rsidR="00574BD0" w:rsidRPr="00E236FF" w:rsidRDefault="0061232B" w:rsidP="00B06488">
                <w:pPr>
                  <w:rPr>
                    <w:b/>
                    <w:bCs/>
                  </w:rPr>
                </w:pPr>
                <w:r>
                  <w:rPr>
                    <w:b/>
                    <w:bCs/>
                  </w:rPr>
                  <w:t>N/A</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dtPr>
          <w:sdtEndPr/>
          <w:sdtContent>
            <w:tc>
              <w:tcPr>
                <w:tcW w:w="5000" w:type="pct"/>
              </w:tcPr>
              <w:p w14:paraId="268A4526" w14:textId="695D56C5" w:rsidR="00D6085B" w:rsidRDefault="0061232B" w:rsidP="00B06488">
                <w:r w:rsidRPr="0061232B">
                  <w:rPr>
                    <w:b/>
                    <w:bCs/>
                  </w:rPr>
                  <w:t>N/A</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tc>
          <w:tcPr>
            <w:tcW w:w="5000" w:type="pct"/>
          </w:tcPr>
          <w:p w14:paraId="649AAD75" w14:textId="4DDABA25" w:rsidR="00E236FF" w:rsidRDefault="006F5947" w:rsidP="00B06488">
            <w:r>
              <w:t xml:space="preserve">Collected and transported </w:t>
            </w:r>
            <w:r w:rsidR="00F63D2E">
              <w:t xml:space="preserve">a total of </w:t>
            </w:r>
            <w:r w:rsidR="00BB5054">
              <w:t xml:space="preserve">around </w:t>
            </w:r>
            <w:r w:rsidR="00F63D2E">
              <w:t>1</w:t>
            </w:r>
            <w:r w:rsidR="00BB5054">
              <w:t>0</w:t>
            </w:r>
            <w:r w:rsidR="00F63D2E">
              <w:t xml:space="preserve">00 Chinook juveniles from Chilliwack River Hatchery to Pacific Science Enterprise Centre </w:t>
            </w:r>
          </w:p>
        </w:tc>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tc>
          <w:tcPr>
            <w:tcW w:w="5000" w:type="pct"/>
          </w:tcPr>
          <w:p w14:paraId="5642DC34" w14:textId="7465A3D3" w:rsidR="0038374C" w:rsidRDefault="00832449" w:rsidP="00B06488">
            <w:r>
              <w:t xml:space="preserve">Collected growth data from </w:t>
            </w:r>
            <w:r w:rsidR="0038374C">
              <w:t>440 stream-type Chinook salmon and 400 ocean-type Chinook salmon</w:t>
            </w:r>
            <w:r w:rsidR="00B52D98">
              <w:t xml:space="preserve">; </w:t>
            </w:r>
          </w:p>
          <w:p w14:paraId="5B1BEF2D" w14:textId="143CDC7F" w:rsidR="00771F91" w:rsidRDefault="0038374C" w:rsidP="00B06488">
            <w:r>
              <w:t>Collected</w:t>
            </w:r>
            <w:r w:rsidR="0070177C">
              <w:t xml:space="preserve"> gill tissues </w:t>
            </w:r>
            <w:r w:rsidR="00675BDA">
              <w:t xml:space="preserve">to measure Na/K ATPase </w:t>
            </w:r>
            <w:r w:rsidR="0070177C">
              <w:t xml:space="preserve">from 168 </w:t>
            </w:r>
            <w:r w:rsidR="00B52D98">
              <w:t xml:space="preserve">stream-type and 168 ocean-type Chinook salmon; </w:t>
            </w:r>
          </w:p>
        </w:tc>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EndPr/>
          <w:sdtContent>
            <w:tc>
              <w:tcPr>
                <w:tcW w:w="5000" w:type="pct"/>
              </w:tcPr>
              <w:p w14:paraId="67E4C894" w14:textId="1D7761E2" w:rsidR="00E9175E" w:rsidRDefault="00887BF3" w:rsidP="00B06488">
                <w:r>
                  <w:t>N/A</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EndPr/>
          <w:sdtContent>
            <w:tc>
              <w:tcPr>
                <w:tcW w:w="9350" w:type="dxa"/>
              </w:tcPr>
              <w:p w14:paraId="0679BDDA" w14:textId="77777777" w:rsidR="004A7EAA" w:rsidRPr="004A7EAA" w:rsidRDefault="004A7EAA" w:rsidP="004A7EAA">
                <w:pPr>
                  <w:pStyle w:val="NoSpacing"/>
                  <w:numPr>
                    <w:ilvl w:val="0"/>
                    <w:numId w:val="10"/>
                  </w:numPr>
                  <w:rPr>
                    <w:rFonts w:ascii="Times New Roman" w:eastAsia="Aptos" w:hAnsi="Times New Roman" w:cs="Times New Roman"/>
                    <w:color w:val="000000"/>
                    <w:kern w:val="2"/>
                    <w:sz w:val="24"/>
                    <w:szCs w:val="24"/>
                    <w14:ligatures w14:val="standardContextual"/>
                  </w:rPr>
                </w:pPr>
                <w:r w:rsidRPr="004A7EAA">
                  <w:rPr>
                    <w:rFonts w:ascii="Times New Roman" w:eastAsia="Aptos" w:hAnsi="Times New Roman" w:cs="Times New Roman"/>
                    <w:color w:val="000000"/>
                    <w:kern w:val="2"/>
                    <w:sz w:val="24"/>
                    <w:szCs w:val="24"/>
                    <w14:ligatures w14:val="standardContextual"/>
                  </w:rPr>
                  <w:t xml:space="preserve">Given that early marine survival can be very low for hatchery-reared salmonids, the present study investigated the effects of a transition diet on the smoltification, growth and survival of stream-type and ocean-type Chinook salmon during the transition from freshwater to seawater. </w:t>
                </w:r>
              </w:p>
              <w:p w14:paraId="0774FB29" w14:textId="77777777" w:rsidR="004A7EAA" w:rsidRPr="004A7EAA" w:rsidRDefault="004A7EAA" w:rsidP="004A7EAA">
                <w:pPr>
                  <w:numPr>
                    <w:ilvl w:val="0"/>
                    <w:numId w:val="10"/>
                  </w:numPr>
                  <w:rPr>
                    <w:rFonts w:ascii="Times New Roman" w:eastAsia="Aptos" w:hAnsi="Times New Roman" w:cs="Times New Roman"/>
                    <w:color w:val="000000"/>
                    <w:kern w:val="2"/>
                    <w:sz w:val="24"/>
                    <w:szCs w:val="24"/>
                    <w14:ligatures w14:val="standardContextual"/>
                  </w:rPr>
                </w:pPr>
                <w:r w:rsidRPr="004A7EAA">
                  <w:rPr>
                    <w:rFonts w:ascii="Times New Roman" w:eastAsia="Aptos" w:hAnsi="Times New Roman" w:cs="Times New Roman"/>
                    <w:color w:val="000000"/>
                    <w:kern w:val="2"/>
                    <w:sz w:val="24"/>
                    <w:szCs w:val="24"/>
                    <w14:ligatures w14:val="standardContextual"/>
                  </w:rPr>
                  <w:t>Fish fed the transition diet did not show any apparent advantages over fish fed the control diet, in terms of smoltification (enzymatic activities of gill Na</w:t>
                </w:r>
                <w:r w:rsidRPr="004A7EAA">
                  <w:rPr>
                    <w:rFonts w:ascii="Times New Roman" w:eastAsia="Aptos" w:hAnsi="Times New Roman" w:cs="Times New Roman"/>
                    <w:color w:val="000000"/>
                    <w:kern w:val="2"/>
                    <w:sz w:val="24"/>
                    <w:szCs w:val="24"/>
                    <w:vertAlign w:val="superscript"/>
                    <w14:ligatures w14:val="standardContextual"/>
                  </w:rPr>
                  <w:t>+</w:t>
                </w:r>
                <w:r w:rsidRPr="004A7EAA">
                  <w:rPr>
                    <w:rFonts w:ascii="Times New Roman" w:eastAsia="Aptos" w:hAnsi="Times New Roman" w:cs="Times New Roman"/>
                    <w:color w:val="000000"/>
                    <w:kern w:val="2"/>
                    <w:sz w:val="24"/>
                    <w:szCs w:val="24"/>
                    <w14:ligatures w14:val="standardContextual"/>
                  </w:rPr>
                  <w:t>, K</w:t>
                </w:r>
                <w:r w:rsidRPr="004A7EAA">
                  <w:rPr>
                    <w:rFonts w:ascii="Times New Roman" w:eastAsia="Aptos" w:hAnsi="Times New Roman" w:cs="Times New Roman"/>
                    <w:color w:val="000000"/>
                    <w:kern w:val="2"/>
                    <w:sz w:val="24"/>
                    <w:szCs w:val="24"/>
                    <w:vertAlign w:val="superscript"/>
                    <w14:ligatures w14:val="standardContextual"/>
                  </w:rPr>
                  <w:t xml:space="preserve">+ </w:t>
                </w:r>
                <w:r w:rsidRPr="004A7EAA">
                  <w:rPr>
                    <w:rFonts w:ascii="Times New Roman" w:eastAsia="Aptos" w:hAnsi="Times New Roman" w:cs="Times New Roman"/>
                    <w:color w:val="000000"/>
                    <w:kern w:val="2"/>
                    <w:sz w:val="24"/>
                    <w:szCs w:val="24"/>
                    <w14:ligatures w14:val="standardContextual"/>
                  </w:rPr>
                  <w:t xml:space="preserve">ATPase), growth performance or survival. </w:t>
                </w:r>
              </w:p>
              <w:p w14:paraId="2DD418C1" w14:textId="77777777" w:rsidR="004A7EAA" w:rsidRPr="004A7EAA" w:rsidRDefault="004A7EAA" w:rsidP="004A7EAA">
                <w:pPr>
                  <w:numPr>
                    <w:ilvl w:val="0"/>
                    <w:numId w:val="10"/>
                  </w:numPr>
                  <w:rPr>
                    <w:rFonts w:ascii="Times New Roman" w:eastAsia="Aptos" w:hAnsi="Times New Roman" w:cs="Times New Roman"/>
                    <w:color w:val="000000"/>
                    <w:kern w:val="2"/>
                    <w:sz w:val="24"/>
                    <w:szCs w:val="24"/>
                    <w14:ligatures w14:val="standardContextual"/>
                  </w:rPr>
                </w:pPr>
                <w:r w:rsidRPr="004A7EAA">
                  <w:rPr>
                    <w:rFonts w:ascii="Times New Roman" w:eastAsia="Aptos" w:hAnsi="Times New Roman" w:cs="Times New Roman"/>
                    <w:color w:val="000000"/>
                    <w:kern w:val="2"/>
                    <w:sz w:val="24"/>
                    <w:szCs w:val="24"/>
                    <w14:ligatures w14:val="standardContextual"/>
                  </w:rPr>
                  <w:t xml:space="preserve">We do not recommend broadscale adoption of transition diets at DFO hatcheries at this time, given that they do not appear to be an effective way to improve early marine survival. </w:t>
                </w:r>
              </w:p>
              <w:p w14:paraId="206E847A" w14:textId="3CC67B2E" w:rsidR="001527C3" w:rsidRDefault="001527C3" w:rsidP="000C1EB2"/>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EndPr/>
          <w:sdtContent>
            <w:tc>
              <w:tcPr>
                <w:tcW w:w="9350" w:type="dxa"/>
              </w:tcPr>
              <w:p w14:paraId="4BA5AFC7" w14:textId="77777777" w:rsidR="00A72B20" w:rsidRPr="00A72B20" w:rsidRDefault="00A72B20" w:rsidP="00A72B20">
                <w:pPr>
                  <w:pStyle w:val="NoSpacing"/>
                  <w:rPr>
                    <w:rFonts w:ascii="Times New Roman" w:eastAsia="Aptos" w:hAnsi="Times New Roman" w:cs="Times New Roman"/>
                    <w:color w:val="000000"/>
                    <w:kern w:val="2"/>
                    <w:sz w:val="24"/>
                    <w:szCs w:val="24"/>
                    <w14:ligatures w14:val="standardContextual"/>
                  </w:rPr>
                </w:pPr>
                <w:r w:rsidRPr="00A72B20">
                  <w:rPr>
                    <w:rFonts w:ascii="Times New Roman" w:eastAsia="Aptos" w:hAnsi="Times New Roman" w:cs="Times New Roman"/>
                    <w:color w:val="000000"/>
                    <w:kern w:val="2"/>
                    <w:sz w:val="24"/>
                    <w:szCs w:val="24"/>
                    <w14:ligatures w14:val="standardContextual"/>
                  </w:rPr>
                  <w:t xml:space="preserve">The main objectives of salmon hatcheries in Canada are to enhance wild populations and support salmon fisheries, but are often hindered by low early marine survival of salmon after release </w:t>
                </w:r>
                <w:r w:rsidRPr="00A72B20">
                  <w:rPr>
                    <w:rFonts w:ascii="Times New Roman" w:eastAsia="Aptos" w:hAnsi="Times New Roman" w:cs="Times New Roman"/>
                    <w:color w:val="000000"/>
                    <w:kern w:val="2"/>
                    <w:sz w:val="24"/>
                    <w:szCs w:val="24"/>
                    <w14:ligatures w14:val="standardContextual"/>
                  </w:rPr>
                  <w:fldChar w:fldCharType="begin" w:fldLock="1"/>
                </w:r>
                <w:r w:rsidRPr="00A72B20">
                  <w:rPr>
                    <w:rFonts w:ascii="Times New Roman" w:eastAsia="Aptos" w:hAnsi="Times New Roman" w:cs="Times New Roman"/>
                    <w:color w:val="000000"/>
                    <w:kern w:val="2"/>
                    <w:sz w:val="24"/>
                    <w:szCs w:val="24"/>
                    <w14:ligatures w14:val="standardContextual"/>
                  </w:rPr>
                  <w:instrText>ADDIN CSL_CITATION {"citationItems":[{"id":"ITEM-1","itemData":{"DOI":"10.1577/c09-040.1","ISSN":"19425120","abstract":"The marine survival of juvenile coho salmon Oncorhynchus kisutch from the time they enter the Strait of Georgia in mid-May to the time of our trawl survey in mid-September declined from an average of about 15% in 1998 to approximately 1% in 2007. Early marine survival rates for juvenile coho salmon have been consistently low (&lt;5%) since 2002, and the rate of decline in early marine survival was greater for hatchery fish than for wild fish. This suggests that hatchery coho salmon are perhaps less able to survive than wild fish in the current marine ecosystem. The steady decline in total marine survival for coho salmon over the past four decades coincided with a warming of the Strait of Georgia, where both sea surface and sea bottom temperatures have increased by approximately 1°C since 1970. Another factor that appears to have contributed to the decline in early marine survival since the late 1990s is an increase in the number of days with an average sustained wind strength greater than 25 km/h. The linkage between wind strength and marine survival requires further study, but wind strength is known to affect the timing and level of primary productivity. The processes that caused the declining marine survival remain to be identified and may include factors associated with disease originating in both freshwater and salt water, metabolic stress, competition, and predation. The data suggest that coho salmon brood year strength is now mostly determined during the first 4 months spent in the Strait of Georgia. If the current low levels of marine survival continue, management initiatives to protect wild coho salmon will be urgently required, and it will be timely to critically evaluate the hatchery programs and policies.","author":[{"dropping-particle":"","family":"Beamish","given":"R. J.","non-dropping-particle":"","parse-names":false,"suffix":""},{"dropping-particle":"","family":"Sweeting","given":"R. M.","non-dropping-particle":"","parse-names":false,"suffix":""},{"dropping-particle":"","family":"Lange","given":"K. L.","non-dropping-particle":"","parse-names":false,"suffix":""},{"dropping-particle":"","family":"Noakes","given":"D. J.","non-dropping-particle":"","parse-names":false,"suffix":""},{"dropping-particle":"","family":"Preikshot","given":"D.","non-dropping-particle":"","parse-names":false,"suffix":""},{"dropping-particle":"","family":"Neville","given":"C. M.","non-dropping-particle":"","parse-names":false,"suffix":""}],"container-title":"Marine and Coastal Fisheries","id":"ITEM-1","issue":"1","issued":{"date-parts":[["2010"]]},"page":"424-439","title":"Early Marine Survival of Coho Salmon in the Strait of Georgia Declines to Very Low Levels","type":"article-journal","volume":"2"},"uris":["http://www.mendeley.com/documents/?uuid=dc61b37a-2c92-434d-80c3-ac8c57429047"]},{"id":"ITEM-2","itemData":{"DOI":"10.1007/s10641-011-9783-5","ISSN":"03781909","abstract":"The population dynamics of chinook salmon (Oncorhynchus tshawytscha) from the Cowichan River on Vancouver Island, British Columbia, Canada are used by the Pacific Salmon Commission as an index of the general state of chinook salmon coast wide. In recent years the production declined to very low levels despite the use of a hatchery that was intended to increase production by improving the number of smolts entering the ocean. In 2008, we carried out an extensive study of the early marine survival of the hatchery and wild juvenile chinook salmon. We found that both rearing types mostly remained within the Gulf Islands study area during the period when most of the marine mortality occurred for the hatchery fish. By mid September, approximately 1. 3% of all hatchery fish survived, compared to 7. 8%-31. 5% for wild fish. This six to 24 times difference in survival could negate an estimated increased egg-to-smolt survival of about 13% that is theorized to result through the use of a hatchery. Estimates of the early marine survival are approximate, but sufficient to show a dramatic difference in the response of the two rearing types to the marine nursery area. If the declining trend in production continues for both rearing types, modifications to the hatchery program are needed to improve survival or an emphasis on improving the abundances of wild stocks is necessary, or both. The discovery that the juvenile Cowichan River chinook salmon remain within a relatively confined area of the Gulf Islands within the Strait of Georgia offers an excellent opportunity to research the mechanisms that cause the early marine mortalities and hopefully contribute to a management that improves the production. © 2011 The Author(s).","author":[{"dropping-particle":"","family":"Beamish","given":"R. J.","non-dropping-particle":"","parse-names":false,"suffix":""},{"dropping-particle":"","family":"Sweeting","given":"R. M.","non-dropping-particle":"","parse-names":false,"suffix":""},{"dropping-particle":"","family":"Neville","given":"C. M.","non-dropping-particle":"","parse-names":false,"suffix":""},{"dropping-particle":"","family":"Lange","given":"K. L.","non-dropping-particle":"","parse-names":false,"suffix":""},{"dropping-particle":"","family":"Beacham","given":"T. D.","non-dropping-particle":"","parse-names":false,"suffix":""},{"dropping-particle":"","family":"Preikshot","given":"D.","non-dropping-particle":"","parse-names":false,"suffix":""}],"container-title":"Environmental Biology of Fishes","id":"ITEM-2","issue":"1","issued":{"date-parts":[["2012"]]},"page":"135-148","title":"Wild chinook salmon survive better than hatchery salmon in a period of poor production","type":"article-journal","volume":"94"},"uris":["http://www.mendeley.com/documents/?uuid=f56b26d3-023d-4095-891f-5cd532c9ea10"]}],"mendeley":{"formattedCitation":"(Beamish et al. 2010, 2012)","plainTextFormattedCitation":"(Beamish et al. 2010, 2012)","previouslyFormattedCitation":"(Beamish et al. 2010, 2012)"},"properties":{"noteIndex":0},"schema":"https://github.com/citation-style-language/schema/raw/master/csl-citation.json"}</w:instrText>
                </w:r>
                <w:r w:rsidRPr="00A72B20">
                  <w:rPr>
                    <w:rFonts w:ascii="Times New Roman" w:eastAsia="Aptos" w:hAnsi="Times New Roman" w:cs="Times New Roman"/>
                    <w:color w:val="000000"/>
                    <w:kern w:val="2"/>
                    <w:sz w:val="24"/>
                    <w:szCs w:val="24"/>
                    <w14:ligatures w14:val="standardContextual"/>
                  </w:rPr>
                  <w:fldChar w:fldCharType="separate"/>
                </w:r>
                <w:r w:rsidRPr="00A72B20">
                  <w:rPr>
                    <w:rFonts w:ascii="Times New Roman" w:eastAsia="Aptos" w:hAnsi="Times New Roman" w:cs="Times New Roman"/>
                    <w:noProof/>
                    <w:color w:val="000000"/>
                    <w:kern w:val="2"/>
                    <w:sz w:val="24"/>
                    <w:szCs w:val="24"/>
                    <w14:ligatures w14:val="standardContextual"/>
                  </w:rPr>
                  <w:t>(Beamish et al. 2010, 2012)</w:t>
                </w:r>
                <w:r w:rsidRPr="00A72B20">
                  <w:rPr>
                    <w:rFonts w:ascii="Times New Roman" w:eastAsia="Aptos" w:hAnsi="Times New Roman" w:cs="Times New Roman"/>
                    <w:color w:val="000000"/>
                    <w:kern w:val="2"/>
                    <w:sz w:val="24"/>
                    <w:szCs w:val="24"/>
                    <w14:ligatures w14:val="standardContextual"/>
                  </w:rPr>
                  <w:fldChar w:fldCharType="end"/>
                </w:r>
                <w:r w:rsidRPr="00A72B20">
                  <w:rPr>
                    <w:rFonts w:ascii="Times New Roman" w:eastAsia="Aptos" w:hAnsi="Times New Roman" w:cs="Times New Roman"/>
                    <w:color w:val="000000"/>
                    <w:kern w:val="2"/>
                    <w:sz w:val="24"/>
                    <w:szCs w:val="24"/>
                    <w14:ligatures w14:val="standardContextual"/>
                  </w:rPr>
                  <w:t xml:space="preserve">. While low early marine survival can be attributed to various factors, smoltification [the morphological, </w:t>
                </w:r>
                <w:proofErr w:type="spellStart"/>
                <w:r w:rsidRPr="00A72B20">
                  <w:rPr>
                    <w:rFonts w:ascii="Times New Roman" w:eastAsia="Aptos" w:hAnsi="Times New Roman" w:cs="Times New Roman"/>
                    <w:color w:val="000000"/>
                    <w:kern w:val="2"/>
                    <w:sz w:val="24"/>
                    <w:szCs w:val="24"/>
                    <w14:ligatures w14:val="standardContextual"/>
                  </w:rPr>
                  <w:t>behavioural</w:t>
                </w:r>
                <w:proofErr w:type="spellEnd"/>
                <w:r w:rsidRPr="00A72B20">
                  <w:rPr>
                    <w:rFonts w:ascii="Times New Roman" w:eastAsia="Aptos" w:hAnsi="Times New Roman" w:cs="Times New Roman"/>
                    <w:color w:val="000000"/>
                    <w:kern w:val="2"/>
                    <w:sz w:val="24"/>
                    <w:szCs w:val="24"/>
                    <w14:ligatures w14:val="standardContextual"/>
                  </w:rPr>
                  <w:t xml:space="preserve">, and physiological changes salmon undergo to enable them to adjust to the marine environment </w:t>
                </w:r>
                <w:r w:rsidRPr="00A72B20">
                  <w:rPr>
                    <w:rFonts w:ascii="Times New Roman" w:eastAsia="Aptos" w:hAnsi="Times New Roman" w:cs="Times New Roman"/>
                    <w:color w:val="000000"/>
                    <w:kern w:val="2"/>
                    <w:sz w:val="24"/>
                    <w:szCs w:val="24"/>
                    <w14:ligatures w14:val="standardContextual"/>
                  </w:rPr>
                  <w:fldChar w:fldCharType="begin" w:fldLock="1"/>
                </w:r>
                <w:r w:rsidRPr="00A72B20">
                  <w:rPr>
                    <w:rFonts w:ascii="Times New Roman" w:eastAsia="Aptos" w:hAnsi="Times New Roman" w:cs="Times New Roman"/>
                    <w:color w:val="000000"/>
                    <w:kern w:val="2"/>
                    <w:sz w:val="24"/>
                    <w:szCs w:val="24"/>
                    <w14:ligatures w14:val="standardContextual"/>
                  </w:rPr>
                  <w:instrText>ADDIN CSL_CITATION {"citationItems":[{"id":"ITEM-1","itemData":{"DOI":"10.1016/B978-0-12-396951-4.00005-0","ISBN":"9780123969514","ISSN":"15465098","abstract":"The parr-smolt transformation of anadromous salmonids is a suite of behavioral, morphological, and physiological changes that are preparatory for downstream migration and seawater entry. The timing of smolt development varies among species, occurring soon after hatching in pink and chum salmon and after one to several years in Atlantic salmon. In many species the transformation is size dependent and occurs in spring, mediated through photoperiod and temperature cues. Smolt development is stimulated by several hormones including growth hormone, insulin-like growth factor-1, cortisol, and thyroid hormones, whereas prolactin is generally inhibitory. Increased salinity tolerance is one of the most important and tractable changes, and is caused by alteration in the function of the major osmoregulatory organs, the gill, gut, and kidney. Increased abundance of specific ion transporters (Na+/K+-ATPase, Na+/K+/Cl- cotransporter and apical Cl- channel) in gill ionocytes results in increased salt secretory capacity, increased growth and swimming performance in seawater, and higher marine survival. © 2013 Elsevier Inc.","author":[{"dropping-particle":"","family":"McCormick","given":"Stephen D.","non-dropping-particle":"","parse-names":false,"suffix":""}],"chapter-number":"5","container-title":"Fish Physiology","id":"ITEM-1","issued":{"date-parts":[["2012"]]},"page":"199-251","publisher":"Elsevier Inc.","title":"Smolt Physiology and Endocrinology","type":"chapter","volume":"32"},"uris":["http://www.mendeley.com/documents/?uuid=d3a1a5b9-2f28-40d1-a553-bb46d4e6b558"]},{"id":"ITEM-2","itemData":{"DOI":"10.1016/bs.fp.2020.10.001","ISSN":"15465098","abstract":"In commercial fish aquaculture, it is crucial to ensure that environmental rearing conditions are adequate, if not optimal, for fish growth, welfare and profitability. In recirculating aquaculture systems (RAS), where environmental conditions can be tightly controlled, targeting these optima may be important in offsetting high costs. However, truly optimal conditions for growth are rarely defined in the literature. In net-pen aquaculture, site selection permits some control over the most relevant parameters; however, it is clear that changes in environmental conditions, such as sub-optimal temperatures, hypoxia and algal blooms, are increasing in frequency and duration, often unpredictably. Thus, an understanding of how changes in relevant environmental parameters affect growth and physiological performance is vital for the selection of strains that may be more resistant to these and other unpredictable changes. In this chapter we provide a physiological framework based upon the “Fry paradigm” for defining optimal values of temperature, salinity and water velocity for fish growth and performance, and the impact of hypoxia and gill damage. We consider these parameters in isolation, but also in combination as they often co-vary in the culture environment. Furthermore, we promote the use of stress tolerance tests to predict the ability of fish to withstand changes in their environment that may arise due to unforeseen circumstances. Finally, we review the various assays that can be used to quantify physiological performance during changes in these environmental parameters.","author":[{"dropping-particle":"","family":"Brauner","given":"Colin J.","non-dropping-particle":"","parse-names":false,"suffix":""},{"dropping-particle":"","family":"Richards","given":"Jeffrey G.","non-dropping-particle":"","parse-names":false,"suffix":""}],"container-title":"Fish Physiology","id":"ITEM-2","issued":{"date-parts":[["2020"]]},"page":"83-121","publisher":"Elsevier Inc.","title":"Physiological performance in aquaculture: Using physiology to help define optimal conditions for growth and environmental tolerance","type":"article-journal","volume":"38"},"uris":["http://www.mendeley.com/documents/?uuid=5ac0732c-29c3-48f0-b873-963bb1f00aaf"]}],"mendeley":{"formattedCitation":"(McCormick 2012; Brauner and Richards 2020)","plainTextFormattedCitation":"(McCormick 2012; Brauner and Richards 2020)","previouslyFormattedCitation":"(McCormick 2012; Brauner and Richards 2020)"},"properties":{"noteIndex":0},"schema":"https://github.com/citation-style-language/schema/raw/master/csl-citation.json"}</w:instrText>
                </w:r>
                <w:r w:rsidRPr="00A72B20">
                  <w:rPr>
                    <w:rFonts w:ascii="Times New Roman" w:eastAsia="Aptos" w:hAnsi="Times New Roman" w:cs="Times New Roman"/>
                    <w:color w:val="000000"/>
                    <w:kern w:val="2"/>
                    <w:sz w:val="24"/>
                    <w:szCs w:val="24"/>
                    <w14:ligatures w14:val="standardContextual"/>
                  </w:rPr>
                  <w:fldChar w:fldCharType="separate"/>
                </w:r>
                <w:r w:rsidRPr="00A72B20">
                  <w:rPr>
                    <w:rFonts w:ascii="Times New Roman" w:eastAsia="Aptos" w:hAnsi="Times New Roman" w:cs="Times New Roman"/>
                    <w:noProof/>
                    <w:color w:val="000000"/>
                    <w:kern w:val="2"/>
                    <w:sz w:val="24"/>
                    <w:szCs w:val="24"/>
                    <w14:ligatures w14:val="standardContextual"/>
                  </w:rPr>
                  <w:t>(McCormick 2012; Brauner and Richards 2020)</w:t>
                </w:r>
                <w:r w:rsidRPr="00A72B20">
                  <w:rPr>
                    <w:rFonts w:ascii="Times New Roman" w:eastAsia="Aptos" w:hAnsi="Times New Roman" w:cs="Times New Roman"/>
                    <w:color w:val="000000"/>
                    <w:kern w:val="2"/>
                    <w:sz w:val="24"/>
                    <w:szCs w:val="24"/>
                    <w14:ligatures w14:val="standardContextual"/>
                  </w:rPr>
                  <w:fldChar w:fldCharType="end"/>
                </w:r>
                <w:r w:rsidRPr="00A72B20">
                  <w:rPr>
                    <w:rFonts w:ascii="Times New Roman" w:eastAsia="Aptos" w:hAnsi="Times New Roman" w:cs="Times New Roman"/>
                    <w:color w:val="000000"/>
                    <w:kern w:val="2"/>
                    <w:sz w:val="24"/>
                    <w:szCs w:val="24"/>
                    <w14:ligatures w14:val="standardContextual"/>
                  </w:rPr>
                  <w:t xml:space="preserve">], is potentially a major bottleneck. During smoltification, one of the key changes is elevated </w:t>
                </w:r>
                <w:bookmarkStart w:id="0" w:name="_Hlk219474000"/>
                <w:r w:rsidRPr="00A72B20">
                  <w:rPr>
                    <w:rFonts w:ascii="Times New Roman" w:eastAsia="Aptos" w:hAnsi="Times New Roman" w:cs="Times New Roman"/>
                    <w:color w:val="000000"/>
                    <w:kern w:val="2"/>
                    <w:sz w:val="24"/>
                    <w:szCs w:val="24"/>
                    <w14:ligatures w14:val="standardContextual"/>
                  </w:rPr>
                  <w:t>enzyme activities of gill Na</w:t>
                </w:r>
                <w:r w:rsidRPr="00A72B20">
                  <w:rPr>
                    <w:rFonts w:ascii="Times New Roman" w:eastAsia="Aptos" w:hAnsi="Times New Roman" w:cs="Times New Roman"/>
                    <w:color w:val="000000"/>
                    <w:kern w:val="2"/>
                    <w:sz w:val="24"/>
                    <w:szCs w:val="24"/>
                    <w:vertAlign w:val="superscript"/>
                    <w14:ligatures w14:val="standardContextual"/>
                  </w:rPr>
                  <w:t>+</w:t>
                </w:r>
                <w:r w:rsidRPr="00A72B20">
                  <w:rPr>
                    <w:rFonts w:ascii="Times New Roman" w:eastAsia="Aptos" w:hAnsi="Times New Roman" w:cs="Times New Roman"/>
                    <w:color w:val="000000"/>
                    <w:kern w:val="2"/>
                    <w:sz w:val="24"/>
                    <w:szCs w:val="24"/>
                    <w14:ligatures w14:val="standardContextual"/>
                  </w:rPr>
                  <w:t>, K</w:t>
                </w:r>
                <w:r w:rsidRPr="00A72B20">
                  <w:rPr>
                    <w:rFonts w:ascii="Times New Roman" w:eastAsia="Aptos" w:hAnsi="Times New Roman" w:cs="Times New Roman"/>
                    <w:color w:val="000000"/>
                    <w:kern w:val="2"/>
                    <w:sz w:val="24"/>
                    <w:szCs w:val="24"/>
                    <w:vertAlign w:val="superscript"/>
                    <w14:ligatures w14:val="standardContextual"/>
                  </w:rPr>
                  <w:t xml:space="preserve">+ </w:t>
                </w:r>
                <w:r w:rsidRPr="00A72B20">
                  <w:rPr>
                    <w:rFonts w:ascii="Times New Roman" w:eastAsia="Aptos" w:hAnsi="Times New Roman" w:cs="Times New Roman"/>
                    <w:color w:val="000000"/>
                    <w:kern w:val="2"/>
                    <w:sz w:val="24"/>
                    <w:szCs w:val="24"/>
                    <w14:ligatures w14:val="standardContextual"/>
                  </w:rPr>
                  <w:t xml:space="preserve">ATPase </w:t>
                </w:r>
                <w:bookmarkEnd w:id="0"/>
                <w:r w:rsidRPr="00A72B20">
                  <w:rPr>
                    <w:rFonts w:ascii="Times New Roman" w:eastAsia="Aptos" w:hAnsi="Times New Roman" w:cs="Times New Roman"/>
                    <w:color w:val="000000"/>
                    <w:kern w:val="2"/>
                    <w:sz w:val="24"/>
                    <w:szCs w:val="24"/>
                    <w14:ligatures w14:val="standardContextual"/>
                  </w:rPr>
                  <w:t xml:space="preserve">(NKA), which plays a crucial role in facilitating primary salt secretion at the gills </w:t>
                </w:r>
                <w:r w:rsidRPr="00A72B20">
                  <w:rPr>
                    <w:rFonts w:ascii="Times New Roman" w:eastAsia="Aptos" w:hAnsi="Times New Roman" w:cs="Times New Roman"/>
                    <w:color w:val="000000"/>
                    <w:kern w:val="2"/>
                    <w:sz w:val="24"/>
                    <w:szCs w:val="24"/>
                    <w14:ligatures w14:val="standardContextual"/>
                  </w:rPr>
                  <w:fldChar w:fldCharType="begin" w:fldLock="1"/>
                </w:r>
                <w:r w:rsidRPr="00A72B20">
                  <w:rPr>
                    <w:rFonts w:ascii="Times New Roman" w:eastAsia="Aptos" w:hAnsi="Times New Roman" w:cs="Times New Roman"/>
                    <w:color w:val="000000"/>
                    <w:kern w:val="2"/>
                    <w:sz w:val="24"/>
                    <w:szCs w:val="24"/>
                    <w14:ligatures w14:val="standardContextual"/>
                  </w:rPr>
                  <w:instrText>ADDIN CSL_CITATION {"citationItems":[{"id":"ITEM-1","itemData":{"DOI":"10.1016/B978-0-12-396951-4.00005-0","ISBN":"9780123969514","ISSN":"15465098","abstract":"The parr-smolt transformation of anadromous salmonids is a suite of behavioral, morphological, and physiological changes that are preparatory for downstream migration and seawater entry. The timing of smolt development varies among species, occurring soon after hatching in pink and chum salmon and after one to several years in Atlantic salmon. In many species the transformation is size dependent and occurs in spring, mediated through photoperiod and temperature cues. Smolt development is stimulated by several hormones including growth hormone, insulin-like growth factor-1, cortisol, and thyroid hormones, whereas prolactin is generally inhibitory. Increased salinity tolerance is one of the most important and tractable changes, and is caused by alteration in the function of the major osmoregulatory organs, the gill, gut, and kidney. Increased abundance of specific ion transporters (Na+/K+-ATPase, Na+/K+/Cl- cotransporter and apical Cl- channel) in gill ionocytes results in increased salt secretory capacity, increased growth and swimming performance in seawater, and higher marine survival. © 2013 Elsevier Inc.","author":[{"dropping-particle":"","family":"McCormick","given":"Stephen D.","non-dropping-particle":"","parse-names":false,"suffix":""}],"chapter-number":"5","container-title":"Fish Physiology","id":"ITEM-1","issued":{"date-parts":[["2012"]]},"page":"199-251","publisher":"Elsevier Inc.","title":"Smolt Physiology and Endocrinology","type":"chapter","volume":"32"},"uris":["http://www.mendeley.com/documents/?uuid=d3a1a5b9-2f28-40d1-a553-bb46d4e6b558"]},{"id":"ITEM-2","itemData":{"DOI":"10.1016/bs.fp.2020.10.001","ISSN":"15465098","abstract":"In commercial fish aquaculture, it is crucial to ensure that environmental rearing conditions are adequate, if not optimal, for fish growth, welfare and profitability. In recirculating aquaculture systems (RAS), where environmental conditions can be tightly controlled, targeting these optima may be important in offsetting high costs. However, truly optimal conditions for growth are rarely defined in the literature. In net-pen aquaculture, site selection permits some control over the most relevant parameters; however, it is clear that changes in environmental conditions, such as sub-optimal temperatures, hypoxia and algal blooms, are increasing in frequency and duration, often unpredictably. Thus, an understanding of how changes in relevant environmental parameters affect growth and physiological performance is vital for the selection of strains that may be more resistant to these and other unpredictable changes. In this chapter we provide a physiological framework based upon the “Fry paradigm” for defining optimal values of temperature, salinity and water velocity for fish growth and performance, and the impact of hypoxia and gill damage. We consider these parameters in isolation, but also in combination as they often co-vary in the culture environment. Furthermore, we promote the use of stress tolerance tests to predict the ability of fish to withstand changes in their environment that may arise due to unforeseen circumstances. Finally, we review the various assays that can be used to quantify physiological performance during changes in these environmental parameters.","author":[{"dropping-particle":"","family":"Brauner","given":"Colin J.","non-dropping-particle":"","parse-names":false,"suffix":""},{"dropping-particle":"","family":"Richards","given":"Jeffrey G.","non-dropping-particle":"","parse-names":false,"suffix":""}],"container-title":"Fish Physiology","id":"ITEM-2","issued":{"date-parts":[["2020"]]},"page":"83-121","publisher":"Elsevier Inc.","title":"Physiological performance in aquaculture: Using physiology to help define optimal conditions for growth and environmental tolerance","type":"article-journal","volume":"38"},"uris":["http://www.mendeley.com/documents/?uuid=5ac0732c-29c3-48f0-b873-963bb1f00aaf"]}],"mendeley":{"formattedCitation":"(McCormick 2012; Brauner and Richards 2020)","plainTextFormattedCitation":"(McCormick 2012; Brauner and Richards 2020)","previouslyFormattedCitation":"(McCormick 2012; Brauner and Richards 2020)"},"properties":{"noteIndex":0},"schema":"https://github.com/citation-style-language/schema/raw/master/csl-citation.json"}</w:instrText>
                </w:r>
                <w:r w:rsidRPr="00A72B20">
                  <w:rPr>
                    <w:rFonts w:ascii="Times New Roman" w:eastAsia="Aptos" w:hAnsi="Times New Roman" w:cs="Times New Roman"/>
                    <w:color w:val="000000"/>
                    <w:kern w:val="2"/>
                    <w:sz w:val="24"/>
                    <w:szCs w:val="24"/>
                    <w14:ligatures w14:val="standardContextual"/>
                  </w:rPr>
                  <w:fldChar w:fldCharType="separate"/>
                </w:r>
                <w:r w:rsidRPr="00A72B20">
                  <w:rPr>
                    <w:rFonts w:ascii="Times New Roman" w:eastAsia="Aptos" w:hAnsi="Times New Roman" w:cs="Times New Roman"/>
                    <w:noProof/>
                    <w:color w:val="000000"/>
                    <w:kern w:val="2"/>
                    <w:sz w:val="24"/>
                    <w:szCs w:val="24"/>
                    <w14:ligatures w14:val="standardContextual"/>
                  </w:rPr>
                  <w:t>(McCormick 2012; Brauner and Richards 2020)</w:t>
                </w:r>
                <w:r w:rsidRPr="00A72B20">
                  <w:rPr>
                    <w:rFonts w:ascii="Times New Roman" w:eastAsia="Aptos" w:hAnsi="Times New Roman" w:cs="Times New Roman"/>
                    <w:color w:val="000000"/>
                    <w:kern w:val="2"/>
                    <w:sz w:val="24"/>
                    <w:szCs w:val="24"/>
                    <w14:ligatures w14:val="standardContextual"/>
                  </w:rPr>
                  <w:fldChar w:fldCharType="end"/>
                </w:r>
                <w:r w:rsidRPr="00A72B20">
                  <w:rPr>
                    <w:rFonts w:ascii="Times New Roman" w:eastAsia="Aptos" w:hAnsi="Times New Roman" w:cs="Times New Roman"/>
                    <w:color w:val="000000"/>
                    <w:kern w:val="2"/>
                    <w:sz w:val="24"/>
                    <w:szCs w:val="24"/>
                    <w14:ligatures w14:val="standardContextual"/>
                  </w:rPr>
                  <w:t xml:space="preserve">. Both elevated gill NKA levels </w:t>
                </w:r>
                <w:r w:rsidRPr="00A72B20">
                  <w:rPr>
                    <w:rFonts w:ascii="Times New Roman" w:eastAsia="Aptos" w:hAnsi="Times New Roman" w:cs="Times New Roman"/>
                    <w:color w:val="000000"/>
                    <w:kern w:val="2"/>
                    <w:sz w:val="24"/>
                    <w:szCs w:val="24"/>
                    <w14:ligatures w14:val="standardContextual"/>
                  </w:rPr>
                  <w:fldChar w:fldCharType="begin" w:fldLock="1"/>
                </w:r>
                <w:r w:rsidRPr="00A72B20">
                  <w:rPr>
                    <w:rFonts w:ascii="Times New Roman" w:eastAsia="Aptos" w:hAnsi="Times New Roman" w:cs="Times New Roman"/>
                    <w:color w:val="000000"/>
                    <w:kern w:val="2"/>
                    <w:sz w:val="24"/>
                    <w:szCs w:val="24"/>
                    <w14:ligatures w14:val="standardContextual"/>
                  </w:rPr>
                  <w:instrText>ADDIN CSL_CITATION {"citationItems":[{"id":"ITEM-1","itemData":{"ISBN":"0913235423","abstract":"Atlantic salmon Salmo salar , steelhead S. gairdneri , and several species of Pacific salmon Oncorhynchus spp. undergo transformation from stream-dwelling parr to seaward-migrating smolts. Physiological, behavioral, morphological, and biochemical changes occur in fresh water in preparation for marine life. The preparatory nature of these adaptations is reviewed and discussed with particular emphasis on osmoregulation, metabolism, and growth. Functional changes in gill, kidney, gut, and urinary bladder result in increased salinity tolerance and hypoosmoregulatory ability. Some or all of these preparatory physiological changes may reverse in the absence of exposure to seawater. Changes in lipid, protein, and carbohydrate metabolism, oxygen consumption, and aerobic respiratory enzyme activity suggest increased catabolism during parr-smolt transformation. These transient changes in catabolism may reflect energetic demands of the extensive differentiation occurring during transformation.","author":[{"dropping-particle":"","family":"McCormick","given":"S.D","non-dropping-particle":"","parse-names":false,"suffix":""},{"dropping-particle":"","family":"Saunders","given":"Richard L.","non-dropping-particle":"","parse-names":false,"suffix":""}],"container-title":"American Fisheries Society Symposium","id":"ITEM-1","issued":{"date-parts":[["1987"]]},"page":"211-229","title":"Preparatory physiological adaptations for marine life in salmonids: osmoregulation, growth and metabolism","type":"article-journal"},"uris":["http://www.mendeley.com/documents/?uuid=954f7789-2761-4114-b0de-9df634832f8a"]},{"id":"ITEM-2","itemData":{"DOI":"10.1111/jfb.12853","ISSN":"10958649","PMID":"26693828","abstract":"This study investigated the relationships between behavioural responses of Atlantic salmon Salmo salar smolts to saltwater (SW) exposure and physiological characteristics of smolts in laboratory experiments. It concurrently described the behaviour of acoustically tagged smolts with respect to SW and tidal cycles during estuary migration. Salmo salar smolts increased their use of SW relative to fresh water (FW) from April to June in laboratory experiments. Mean preference for SW never exceeded 50% of time in any group. Preference for SW increased throughout the course of smolt development. Maximum continuous time spent in SW was positively related to gill Na+, K+-ATPase (NKA) activity and osmoregulatory performance in full-strength SW (measured as change in gill NKA activity and plasma osmolality). Smolts decreased depth upon reaching areas of the Penobscot Estuary where SW was present, and all fish became more surface oriented during passage from head of tide to the ocean. Acoustically tagged, migrating smolts with low gill NKA activity moved faster in FW reaches of the estuary than those with higher gill NKA activity. There was no difference in movement rate through SW reaches of the estuary based on gill NKA activity. Migrating fish moved with tidal flow during the passage of the lower estuary based on the observed patterns in both vertical and horizontal movements. The results indicate that smolts select low-salinity water during estuary migration and use tidal currents to minimize energetic investment in seaward migration. Seasonal changes in osmoregulatory ability highlight the importance of the timing of stocking and estuary arrival.","author":[{"dropping-particle":"","family":"Stich","given":"D. S.","non-dropping-particle":"","parse-names":false,"suffix":""},{"dropping-particle":"","family":"Zydlewski","given":"G. B.","non-dropping-particle":"","parse-names":false,"suffix":""},{"dropping-particle":"","family":"Zydlewski","given":"J. D.","non-dropping-particle":"","parse-names":false,"suffix":""}],"container-title":"Journal of Fish Biology","id":"ITEM-2","issue":"2","issued":{"date-parts":[["2015"]]},"page":"595-617","title":"Physiological preparedness and performance of Atlantic salmon Salmo salar smolts in relation to behavioural salinity preferences and thresholds","type":"article-journal","volume":"88"},"uris":["http://www.mendeley.com/documents/?uuid=5508bddd-6a3a-4dab-a294-5f4bc3f7bcd2"]},{"id":"ITEM-3","itemData":{"DOI":"10.1080/19425120.2015.1007185","ISSN":"19425120","abstract":"Decreased marine survival is identified as a component driver of continued declines of Atlantic Salmon Salmo salar. However, estimates of marine mortality often incorporate loss incurred during estuary migration that may be mechanistically distinct from factors affecting marine mortality. We examined movements and survival of 941 smolts (141 wild and 800 hatchery-reared fish) released in freshwater during passage through the Penobscot River estuary, Maine, from 2005 to 2013. We related trends in estuary arrival date, movement rate, and survival to fish characteristics, migratory history, and environmental conditions in the estuary. Fish that experienced the warmest thermal history arrived in the estuary 8 d earlier than those experiencing the coolest thermal history during development. Estuary arrival date was 10 d later for fish experiencing high flow than for fish experiencing low flow. Fish released furthest upstream arrived in the estuary 3 d later than those stocked further downstream but moved 0.5 km/h faster through the estuary. Temporally, movement rate and survival in the estuary both peaked in mid-May. Spatially, movement rate and survival both decreased from freshwater to the ocean. Wild smolts arrived in the estuary later than hatchery fish, but we observed no change in movement rate or survival attributable to rearing history. Fish with the highest gill Na+, K+-ATPase activity incurred 25% lower mortality through the estuary than fish with the lowest gill Na+, K+-ATPase activity. Smolt survival decreased (by up to 40%) with the increasing number of dams passed (ranging from two to nine) during freshwater migration. These results underscore the importance of physiological preparedness on performance and the delayed, indirect effects of dams on survival of Atlantic Salmon smolts during estuary migration, ultimately affecting marine survival estimates. Received October 25, 2014; accepted January 8, 2015","author":[{"dropping-particle":"","family":"Stich","given":"Daniel S.","non-dropping-particle":"","parse-names":false,"suffix":""},{"dropping-particle":"","family":"Zydlewski","given":"Gayle B.","non-dropping-particle":"","parse-names":false,"suffix":""},{"dropping-particle":"","family":"Kocik","given":"John F.","non-dropping-particle":"","parse-names":false,"suffix":""},{"dropping-particle":"","family":"Zydlewski","given":"Joseph D.","non-dropping-particle":"","parse-names":false,"suffix":""}],"container-title":"Marine and Coastal Fisheries","id":"ITEM-3","issue":"1","issued":{"date-parts":[["2015"]]},"page":"68-86","title":"Linking Behavior, Physiology, and Survival of Atlantic Salmon Smolts During Estuary Migration","type":"article-journal","volume":"7"},"uris":["http://www.mendeley.com/documents/?uuid=2b0119a3-4d46-4c93-9fc9-cebb2f2b1153"]}],"mendeley":{"formattedCitation":"(McCormick and Saunders 1987; Stich et al. 2015b, 2015a)","plainTextFormattedCitation":"(McCormick and Saunders 1987; Stich et al. 2015b, 2015a)","previouslyFormattedCitation":"(McCormick and Saunders 1987; Stich et al. 2015b, 2015a)"},"properties":{"noteIndex":0},"schema":"https://github.com/citation-style-language/schema/raw/master/csl-citation.json"}</w:instrText>
                </w:r>
                <w:r w:rsidRPr="00A72B20">
                  <w:rPr>
                    <w:rFonts w:ascii="Times New Roman" w:eastAsia="Aptos" w:hAnsi="Times New Roman" w:cs="Times New Roman"/>
                    <w:color w:val="000000"/>
                    <w:kern w:val="2"/>
                    <w:sz w:val="24"/>
                    <w:szCs w:val="24"/>
                    <w14:ligatures w14:val="standardContextual"/>
                  </w:rPr>
                  <w:fldChar w:fldCharType="separate"/>
                </w:r>
                <w:r w:rsidRPr="00A72B20">
                  <w:rPr>
                    <w:rFonts w:ascii="Times New Roman" w:eastAsia="Aptos" w:hAnsi="Times New Roman" w:cs="Times New Roman"/>
                    <w:noProof/>
                    <w:color w:val="000000"/>
                    <w:kern w:val="2"/>
                    <w:sz w:val="24"/>
                    <w:szCs w:val="24"/>
                    <w14:ligatures w14:val="standardContextual"/>
                  </w:rPr>
                  <w:t>(McCormick and Saunders 1987; Stich et al. 2015b, 2015a)</w:t>
                </w:r>
                <w:r w:rsidRPr="00A72B20">
                  <w:rPr>
                    <w:rFonts w:ascii="Times New Roman" w:eastAsia="Aptos" w:hAnsi="Times New Roman" w:cs="Times New Roman"/>
                    <w:color w:val="000000"/>
                    <w:kern w:val="2"/>
                    <w:sz w:val="24"/>
                    <w:szCs w:val="24"/>
                    <w14:ligatures w14:val="standardContextual"/>
                  </w:rPr>
                  <w:fldChar w:fldCharType="end"/>
                </w:r>
                <w:r w:rsidRPr="00A72B20">
                  <w:rPr>
                    <w:rFonts w:ascii="Times New Roman" w:eastAsia="Aptos" w:hAnsi="Times New Roman" w:cs="Times New Roman"/>
                    <w:color w:val="000000"/>
                    <w:kern w:val="2"/>
                    <w:sz w:val="24"/>
                    <w:szCs w:val="24"/>
                    <w14:ligatures w14:val="standardContextual"/>
                  </w:rPr>
                  <w:t xml:space="preserve"> and high survival post seawater transition </w:t>
                </w:r>
                <w:r w:rsidRPr="00A72B20">
                  <w:rPr>
                    <w:rFonts w:ascii="Times New Roman" w:eastAsia="Aptos" w:hAnsi="Times New Roman" w:cs="Times New Roman"/>
                    <w:color w:val="000000"/>
                    <w:kern w:val="2"/>
                    <w:sz w:val="24"/>
                    <w:szCs w:val="24"/>
                    <w14:ligatures w14:val="standardContextual"/>
                  </w:rPr>
                  <w:fldChar w:fldCharType="begin" w:fldLock="1"/>
                </w:r>
                <w:r w:rsidRPr="00A72B20">
                  <w:rPr>
                    <w:rFonts w:ascii="Times New Roman" w:eastAsia="Aptos" w:hAnsi="Times New Roman" w:cs="Times New Roman"/>
                    <w:color w:val="000000"/>
                    <w:kern w:val="2"/>
                    <w:sz w:val="24"/>
                    <w:szCs w:val="24"/>
                    <w14:ligatures w14:val="standardContextual"/>
                  </w:rPr>
                  <w:instrText>ADDIN CSL_CITATION {"citationItems":[{"id":"ITEM-1","itemData":{"DOI":"10.1016/0044-8486(82)90020-5","ISSN":"00448486","abstract":"This paper reviews the studies undertaken to determine the relationship between hypoosmoregulatory performance in the 24-h seawater challenge test and marine survival of hatchery-reared coho salmon and steelhead trout juveniles. The results of sampling various salmonids in southwestern British Columbia are discussed in terms of potential utility of the challenge test in relation to increasing the efficiency of hatchery production. Although some individuals of all salmonid species tested exhibit a similar high level of hypoosmoregulatory performance in the challenge test, the size at which this development appears varies widely among species. Sampling of juveniles from structured release experiments in production hatcheries has revealed temporal and size-related differences in the pattern of development. Once the information on rate of survival of these release groups is available, it is anticipated that particular levels of performance can be interpreted in relation to species and locale. © 1982.","author":[{"dropping-particle":"","family":"Clarke","given":"W. Craig","non-dropping-particle":"","parse-names":false,"suffix":""}],"container-title":"Aquaculture","id":"ITEM-1","issue":"1-2","issued":{"date-parts":[["1982"]]},"page":"177-183","title":"Evaluation of the seawater challenge test as an index of marine survival","type":"article-journal","volume":"28"},"uris":["http://www.mendeley.com/documents/?uuid=150d7349-749a-48b1-a954-4d1a30b3826d"]}],"mendeley":{"formattedCitation":"(Clarke 1982)","plainTextFormattedCitation":"(Clarke 1982)","previouslyFormattedCitation":"(Clarke 1982)"},"properties":{"noteIndex":0},"schema":"https://github.com/citation-style-language/schema/raw/master/csl-citation.json"}</w:instrText>
                </w:r>
                <w:r w:rsidRPr="00A72B20">
                  <w:rPr>
                    <w:rFonts w:ascii="Times New Roman" w:eastAsia="Aptos" w:hAnsi="Times New Roman" w:cs="Times New Roman"/>
                    <w:color w:val="000000"/>
                    <w:kern w:val="2"/>
                    <w:sz w:val="24"/>
                    <w:szCs w:val="24"/>
                    <w14:ligatures w14:val="standardContextual"/>
                  </w:rPr>
                  <w:fldChar w:fldCharType="separate"/>
                </w:r>
                <w:r w:rsidRPr="00A72B20">
                  <w:rPr>
                    <w:rFonts w:ascii="Times New Roman" w:eastAsia="Aptos" w:hAnsi="Times New Roman" w:cs="Times New Roman"/>
                    <w:noProof/>
                    <w:color w:val="000000"/>
                    <w:kern w:val="2"/>
                    <w:sz w:val="24"/>
                    <w:szCs w:val="24"/>
                    <w14:ligatures w14:val="standardContextual"/>
                  </w:rPr>
                  <w:t>(Clarke 1982)</w:t>
                </w:r>
                <w:r w:rsidRPr="00A72B20">
                  <w:rPr>
                    <w:rFonts w:ascii="Times New Roman" w:eastAsia="Aptos" w:hAnsi="Times New Roman" w:cs="Times New Roman"/>
                    <w:color w:val="000000"/>
                    <w:kern w:val="2"/>
                    <w:sz w:val="24"/>
                    <w:szCs w:val="24"/>
                    <w14:ligatures w14:val="standardContextual"/>
                  </w:rPr>
                  <w:fldChar w:fldCharType="end"/>
                </w:r>
                <w:r w:rsidRPr="00A72B20">
                  <w:rPr>
                    <w:rFonts w:ascii="Times New Roman" w:eastAsia="Aptos" w:hAnsi="Times New Roman" w:cs="Times New Roman"/>
                    <w:color w:val="000000"/>
                    <w:kern w:val="2"/>
                    <w:sz w:val="24"/>
                    <w:szCs w:val="24"/>
                    <w14:ligatures w14:val="standardContextual"/>
                  </w:rPr>
                  <w:t xml:space="preserve"> are considered valid indicators of smoltification development of salmonids. </w:t>
                </w:r>
              </w:p>
              <w:p w14:paraId="2E555251" w14:textId="77777777" w:rsidR="00A72B20" w:rsidRPr="00A72B20" w:rsidRDefault="00A72B20" w:rsidP="00A72B20">
                <w:pPr>
                  <w:rPr>
                    <w:rFonts w:ascii="Times New Roman" w:eastAsia="Aptos" w:hAnsi="Times New Roman" w:cs="Times New Roman"/>
                    <w:color w:val="000000"/>
                    <w:kern w:val="2"/>
                    <w:sz w:val="24"/>
                    <w:szCs w:val="24"/>
                    <w14:ligatures w14:val="standardContextual"/>
                  </w:rPr>
                </w:pPr>
              </w:p>
              <w:p w14:paraId="1A43ABEB" w14:textId="77777777" w:rsidR="00A72B20" w:rsidRPr="00A72B20" w:rsidRDefault="00A72B20" w:rsidP="00A72B20">
                <w:pPr>
                  <w:rPr>
                    <w:rFonts w:ascii="Times New Roman" w:eastAsia="Aptos" w:hAnsi="Times New Roman" w:cs="Times New Roman"/>
                    <w:color w:val="000000"/>
                    <w:kern w:val="2"/>
                    <w:sz w:val="24"/>
                    <w:szCs w:val="24"/>
                    <w14:ligatures w14:val="standardContextual"/>
                  </w:rPr>
                </w:pPr>
                <w:r w:rsidRPr="00A72B20">
                  <w:rPr>
                    <w:rFonts w:ascii="Times New Roman" w:eastAsia="Aptos" w:hAnsi="Times New Roman" w:cs="Times New Roman"/>
                    <w:color w:val="000000"/>
                    <w:kern w:val="2"/>
                    <w:sz w:val="24"/>
                    <w:szCs w:val="24"/>
                    <w14:ligatures w14:val="standardContextual"/>
                  </w:rPr>
                  <w:t xml:space="preserve">In hatchery settings, a change in photoperiod (increasing daylength) can trigger smoltification, while  temperature (warming) can accelerate its development in salmonids </w:t>
                </w:r>
                <w:r w:rsidRPr="00A72B20">
                  <w:rPr>
                    <w:rFonts w:ascii="Times New Roman" w:eastAsia="Aptos" w:hAnsi="Times New Roman" w:cs="Times New Roman"/>
                    <w:color w:val="000000"/>
                    <w:kern w:val="2"/>
                    <w:sz w:val="24"/>
                    <w:szCs w:val="24"/>
                    <w14:ligatures w14:val="standardContextual"/>
                  </w:rPr>
                  <w:fldChar w:fldCharType="begin" w:fldLock="1"/>
                </w:r>
                <w:r w:rsidRPr="00A72B20">
                  <w:rPr>
                    <w:rFonts w:ascii="Times New Roman" w:eastAsia="Aptos" w:hAnsi="Times New Roman" w:cs="Times New Roman"/>
                    <w:color w:val="000000"/>
                    <w:kern w:val="2"/>
                    <w:sz w:val="24"/>
                    <w:szCs w:val="24"/>
                    <w14:ligatures w14:val="standardContextual"/>
                  </w:rPr>
                  <w:instrText>ADDIN CSL_CITATION {"citationItems":[{"id":"ITEM-1","itemData":{"DOI":"10.1016/0044-8486(95)01034-3","ISSN":"00448486","abstract":"Smolting in autumn in age 0+ Salmo salar was improved by 2 months of short photoperiod in an otherwise constant long photoperiod regime. Four groups of fry were reared under either constantlong photoperiod (LD 17:7), or LD17:7 interrupted by LD7:17 for one (1mo-short; July 27-September 1) or 2 months (2mo-short; June 30-September 1), or simulated natural day length (LDN). Bimodality in size-frequency developed in all groups by August. Probability of an individual entering the upper-modal group (UMG) was related positively to fork length in late June. The LDN regime had the highest proportion of both lower-modal group fish (46% vs. 25-27%), and 0+ sexually mature males of the four groups (26% vs. 10-12%). Smolt development in autumn was highest in the 2mo-short group, but was inferior to normal spring smolts, as judged by hypoosmoregulatory ability and gill Na+K+ATPase activity. Following transfer of UMG fish to a sea-cage in November, the 2mo-short group exhibited best survival and growth over winter. From spring onwards all groups grew well, reaching harvest size (3-4 kg) in August after 20 months in sea water. Mortality in sea water was 24% and 28% in the 2mo- and 1mo-short groups, and 54% and 67% in the constant-long and LDN groups. The study indicated the feasibility of stabilising the undesirable seasonal fluctuation in commercial salmon production by producing 'off-season' smolts 6 months out-of-phase from regular spring smolts. © 1995.","author":[{"dropping-particle":"","family":"Duston","given":"J.","non-dropping-particle":"","parse-names":false,"suffix":""},{"dropping-particle":"","family":"Saunders","given":"R. L.","non-dropping-particle":"","parse-names":false,"suffix":""}],"container-title":"Aquaculture","id":"ITEM-1","issue":"4","issued":{"date-parts":[["1995"]]},"page":"295-309","title":"Advancing smolting to autumn in age 0+ Atlantic salmon by photoperiod, and long-term performance in sea water","type":"article-journal","volume":"135"},"uris":["http://www.mendeley.com/documents/?uuid=ca175654-7a97-4fa4-9b92-0172d5475bf6"]},{"id":"ITEM-2","itemData":{"author":[{"dropping-particle":"","family":"Strand","given":"Jo E.T","non-dropping-particle":"","parse-names":false,"suffix":""},{"dropping-particle":"","family":"Hazlerigg","given":"David","non-dropping-particle":"","parse-names":false,"suffix":""},{"dropping-particle":"","family":"Jørgensen","given":"Even H.","non-dropping-particle":"","parse-names":false,"suffix":""}],"container-title":"Journal of Fish Biology","id":"ITEM-2","issued":{"date-parts":[["2018"]]},"page":"440-448","title":"Photoperiod revisited: is there a critical day length for triggering a complete parr-smolt transformation in Atlantic salmon Salmo salar?","type":"article-journal","volume":"93"},"uris":["http://www.mendeley.com/documents/?uuid=0cd00fd0-fd40-4863-b124-9c5b2d02a534"]},{"id":"ITEM-3","itemData":{"DOI":"10.1016/0044-8486(89)90395-5","ISSN":"00448486","abstract":"Chum (Oncorhynchus keta), coho (O. kisutch), ocean and stream-type chinook (O. tshawytscha) salmon fry were reared from first feeding under constant 9.5 h or 14.5 h photoperiod for 2 months and then under simulated natural photoperiod for 4 months. The coho and stream-type chinook grew more rapidly and more uniformly both in fresh and in salt water after short than after long day treatment. In contrast, the chum and ocean-type chinook salmon grew well and adapted readily to sea water after either treatment. Plasma growth hormone levels in June or in August were not significantly different between photoperiod treatments in any of the species. It is concluded that juvenile coho and stream-type chinook require a period of exposure to short day photoperiod from first feeding in order to develop uniformly as zero-age smolts. This experiment showed that zero-age coho or stream-type chinook smolts can be produced using a 2-month constant short day photoperiod under simple lighting systems. © 1989.","author":[{"dropping-particle":"","family":"Clarke","given":"W. Craig","non-dropping-particle":"","parse-names":false,"suffix":""},{"dropping-particle":"","family":"Shelbourn","given":"John E.","non-dropping-particle":"","parse-names":false,"suffix":""},{"dropping-particle":"","family":"Ogasawara","given":"Tsuyoshi","non-dropping-particle":"","parse-names":false,"suffix":""},{"dropping-particle":"","family":"Hirano","given":"Tetsuya","non-dropping-particle":"","parse-names":false,"suffix":""}],"container-title":"Aquaculture","id":"ITEM-3","issue":"1-4","issued":{"date-parts":[["1989"]]},"page":"51-62","title":"Effect of initial daylength on growth, seawater adaptability and plasma growth hormone levels in underyearling coho, chinook, and chum salmon","type":"article-journal","volume":"82"},"uris":["http://www.mendeley.com/documents/?uuid=62ec1331-5e60-49c5-8c9b-82da30352000"]},{"id":"ITEM-4","itemData":{"DOI":"10.1016/0044-8486(94)90073-6","ISSN":"00448486","abstract":"To accelerate smolt development and downstream migration in yearling spring chinook salmon (Oncorhynchus tshawytscha), treatment groups at Dworshak National Fish Hatchery (Idaho) were exposed to 3-month advanced photoperiod and ambient temperature (4-6°C). In each of 3 years, photoperiod treatment began in late December or January and continued for 13 to 18 weeks until release between 29 March and 5 April into the Clearwater River. Additional groups exposed to either the advanced photoperiod or ambient light were reared at an elevated water temperature (11-12°C) for 10 to 14 days preceding release. Downstream movement and recovery proportions were evaluated using passive-integrated-transponder (PIT) tags. Photoperiod treatment increased gill Na+K+ ATPase levels significantly at the time of release in 2 of the 3 study years and in all 3 years resulted in significantly faster travel times to Lower Granite Dam, 117 km downstream. The combination of photoperiod and increased temperature treatment resulted in the highest gill Na+K+ ATPase levels at release, the fastest downstream movement, and significantly higher recovery proportions downstream. Temperature treatment alone had no effect on gill Na+K+ ATPase level or recovery proportion and resulted in significantly slower travel time to Lower Granite Dam. Treatment groups exhibiting faster travel time to Lower Granite Dam also passed McNary Dam (343 km downstream) sooner, although the differences were not as great. © 1994.","author":[{"dropping-particle":"","family":"Muir","given":"William D.","non-dropping-particle":"","parse-names":false,"suffix":""},{"dropping-particle":"","family":"Zaugg","given":"Waldo S.","non-dropping-particle":"","parse-names":false,"suffix":""},{"dropping-particle":"","family":"Giorgi","given":"Albert E.","non-dropping-particle":"","parse-names":false,"suffix":""},{"dropping-particle":"","family":"McCutcheon","given":"Scott","non-dropping-particle":"","parse-names":false,"suffix":""}],"container-title":"Aquaculture","id":"ITEM-4","issue":"3-4","issued":{"date-parts":[["1994"]]},"page":"387-399","title":"Accelerating smolt development and downstream movement in yearling chinook salmon with advanced photoperiod and increased temperature","type":"article-journal","volume":"123"},"uris":["http://www.mendeley.com/documents/?uuid=aa2bf990-f399-47dc-b6cf-0e6aa7eb7ce5"]},{"id":"ITEM-5","itemData":{"author":[{"dropping-particle":"","family":"Ban","given":"Masatoshi","non-dropping-particle":"","parse-names":false,"suffix":""}],"container-title":"Bulletin of the National Salmon Resources Centre","id":"ITEM-5","issue":"3","issued":{"date-parts":[["2000"]]},"page":"25-28","title":"Effects of Photoperiod and Water Temperature on Smoltification of Yearling Sockeye Salmon (Oncorhynchus nerka)","type":"article-journal"},"uris":["http://www.mendeley.com/documents/?uuid=ad0999bc-c55c-4619-9657-c6590094451e"]}],"mendeley":{"formattedCitation":"(Clarke et al. 1989; Muir et al. 1994; Duston and Saunders 1995; Ban 2000; Strand et al. 2018)","plainTextFormattedCitation":"(Clarke et al. 1989; Muir et al. 1994; Duston and Saunders 1995; Ban 2000; Strand et al. 2018)","previouslyFormattedCitation":"(Clarke et al. 1989; Muir et al. 1994; Duston and Saunders 1995; Ban 2000; Strand et al. 2018)"},"properties":{"noteIndex":0},"schema":"https://github.com/citation-style-language/schema/raw/master/csl-citation.json"}</w:instrText>
                </w:r>
                <w:r w:rsidRPr="00A72B20">
                  <w:rPr>
                    <w:rFonts w:ascii="Times New Roman" w:eastAsia="Aptos" w:hAnsi="Times New Roman" w:cs="Times New Roman"/>
                    <w:color w:val="000000"/>
                    <w:kern w:val="2"/>
                    <w:sz w:val="24"/>
                    <w:szCs w:val="24"/>
                    <w14:ligatures w14:val="standardContextual"/>
                  </w:rPr>
                  <w:fldChar w:fldCharType="separate"/>
                </w:r>
                <w:r w:rsidRPr="00A72B20">
                  <w:rPr>
                    <w:rFonts w:ascii="Times New Roman" w:eastAsia="Aptos" w:hAnsi="Times New Roman" w:cs="Times New Roman"/>
                    <w:noProof/>
                    <w:color w:val="000000"/>
                    <w:kern w:val="2"/>
                    <w:sz w:val="24"/>
                    <w:szCs w:val="24"/>
                    <w14:ligatures w14:val="standardContextual"/>
                  </w:rPr>
                  <w:t>(Clarke et al. 1989; Muir et al. 1994; Duston and Saunders 1995; Ban 2000; Strand et al. 2018)</w:t>
                </w:r>
                <w:r w:rsidRPr="00A72B20">
                  <w:rPr>
                    <w:rFonts w:ascii="Times New Roman" w:eastAsia="Aptos" w:hAnsi="Times New Roman" w:cs="Times New Roman"/>
                    <w:color w:val="000000"/>
                    <w:kern w:val="2"/>
                    <w:sz w:val="24"/>
                    <w:szCs w:val="24"/>
                    <w14:ligatures w14:val="standardContextual"/>
                  </w:rPr>
                  <w:fldChar w:fldCharType="end"/>
                </w:r>
                <w:r w:rsidRPr="00A72B20">
                  <w:rPr>
                    <w:rFonts w:ascii="Times New Roman" w:eastAsia="Aptos" w:hAnsi="Times New Roman" w:cs="Times New Roman"/>
                    <w:color w:val="000000"/>
                    <w:kern w:val="2"/>
                    <w:sz w:val="24"/>
                    <w:szCs w:val="24"/>
                    <w14:ligatures w14:val="standardContextual"/>
                  </w:rPr>
                  <w:t xml:space="preserve">. In addition, past </w:t>
                </w:r>
                <w:r w:rsidRPr="00A72B20">
                  <w:rPr>
                    <w:rFonts w:ascii="Times New Roman" w:eastAsia="Aptos" w:hAnsi="Times New Roman" w:cs="Times New Roman"/>
                    <w:color w:val="000000"/>
                    <w:kern w:val="2"/>
                    <w:sz w:val="24"/>
                    <w:szCs w:val="24"/>
                    <w14:ligatures w14:val="standardContextual"/>
                  </w:rPr>
                  <w:lastRenderedPageBreak/>
                  <w:t xml:space="preserve">studies have also reported that salt supplementation in the diet could facilitate smoltification development of salmonids (positive effects: </w:t>
                </w:r>
                <w:r w:rsidRPr="00A72B20">
                  <w:rPr>
                    <w:rFonts w:ascii="Times New Roman" w:eastAsia="Aptos" w:hAnsi="Times New Roman" w:cs="Times New Roman"/>
                    <w:color w:val="000000"/>
                    <w:kern w:val="2"/>
                    <w:sz w:val="24"/>
                    <w:szCs w:val="24"/>
                    <w14:ligatures w14:val="standardContextual"/>
                  </w:rPr>
                  <w:fldChar w:fldCharType="begin" w:fldLock="1"/>
                </w:r>
                <w:r w:rsidRPr="00A72B20">
                  <w:rPr>
                    <w:rFonts w:ascii="Times New Roman" w:eastAsia="Aptos" w:hAnsi="Times New Roman" w:cs="Times New Roman"/>
                    <w:color w:val="000000"/>
                    <w:kern w:val="2"/>
                    <w:sz w:val="24"/>
                    <w:szCs w:val="24"/>
                    <w14:ligatures w14:val="standardContextual"/>
                  </w:rPr>
                  <w:instrText>ADDIN CSL_CITATION {"citationItems":[{"id":"ITEM-1","itemData":{"author":[{"dropping-particle":"","family":"Zaugg","given":"W.S.","non-dropping-particle":"","parse-names":false,"suffix":""},{"dropping-particle":"","family":"Roley","given":"D.D.","non-dropping-particle":"","parse-names":false,"suffix":""},{"dropping-particle":"","family":"Prentice","given":"E.F.","non-dropping-particle":"","parse-names":false,"suffix":""},{"dropping-particle":"","family":"Gores","given":"K.X.","non-dropping-particle":"","parse-names":false,"suffix":""},{"dropping-particle":"","family":"Waknitz","given":"F.W.","non-dropping-particle":"","parse-names":false,"suffix":""}],"container-title":"Aquaculture","id":"ITEM-1","issue":"1-2","issued":{"date-parts":[["1983"]]},"page":"183-188","title":"Increased seawater survival and contribution to the fishery of chinook salmon (Oncorhynchus tshawytscha) by supplemental dietary salt","type":"article-journal","volume":"32"},"uris":["http://www.mendeley.com/documents/?uuid=95cd5aea-8d40-4a9b-b546-d69a6344952f"]},{"id":"ITEM-2","itemData":{"DOI":"10.1080/15222055.2016.1185064","ISSN":"15488454","abstract":"Transition diets, often supplemented with salt and other additives, have been used to prepare Pacific salmon Oncorhynchus spp. being moved directly from freshwater to saltwater net pens for aquaculture production. However, the use of transition diets to prepare hatchery-reared salmon released into freshwater prior to out-migration to the ocean has shown mixed results. We compared the physiological (size, condition factor, Na+,K+-ATPase [NKA] enzyme activity, survival during a saltwater challenge) and nutritional (proximate composition, fatty acid profile) condition of juvenile Chinook Salmon O. tshawytscha that were fed either a standard hatchery feed or a commercially available transition diet for the final 6 weeks of hatchery rearing to determine whether the transition diet altered smolt condition. At release, NKA activity of fish fed the transition diet was higher than that of fish fed the control diet, though survival during a saltwater challenge was similar between groups. Differences were seen in the proximate composition of the fish, with increased total body moisture and decreased lipid in the fish fed the transition diet relative to fish fed the control diet. Whole-body fatty acid composition of fish was similar to the fatty acid composition of the feeds in both groups, though some key whole-body fatty acids did not follow this trend. Palmitic acid (16:0), linoleic acid (18:2[n-6]), eicosapentaenoic acid (20:5[n-3]), and docosahexaenoic acid (22:6[n-3]) varied between prefeeding trial samples and fish fed the two diets. Further research is required to determine whether the physiological changes that occurred are related to smoltification or the maintenance of osmotic balance while fish are fed additional salt. Received October 13, 2015; accepted April 3, 2016","author":[{"dropping-particle":"","family":"Hanson","given":"Kyle C.","non-dropping-particle":"","parse-names":false,"suffix":""},{"dropping-particle":"","family":"Twibell","given":"Ronald G.","non-dropping-particle":"","parse-names":false,"suffix":""},{"dropping-particle":"","family":"Glenn","given":"Richard A.","non-dropping-particle":"","parse-names":false,"suffix":""},{"dropping-particle":"","family":"Barron","given":"James M.","non-dropping-particle":"","parse-names":false,"suffix":""},{"dropping-particle":"","family":"Gannam","given":"Ann L.","non-dropping-particle":"","parse-names":false,"suffix":""}],"container-title":"North American Journal of Aquaculture","id":"ITEM-2","issue":"4","issued":{"date-parts":[["2016"]]},"page":"307-313","title":"The Effects of a Transition Diet on the Smoltification of Chinook Salmon","type":"article-journal","volume":"78"},"uris":["http://www.mendeley.com/documents/?uuid=fca22819-1109-4cb0-9627-c01ff99c44cc"]},{"id":"ITEM-3","itemData":{"DOI":"10.1007/BF01875577","ISSN":"09201742","abstract":"With the aim of comparing the effects of oral T3 and NaCl administration on trout hypoosmoregulatory mechanisms, three groups of rainbow trout (Oncorhynchus mykiss Walbaum) held in freshwater (FW) were fed a basal diet (C), the same diet containing 8.83 ppm of 3,5,3'-triiodo-L-thyronine (T3) (T) or 10% (w/w) NaCl (N) respectively for 30 d. They were then transferred to brackish water (BW) for 22 d and fed on diet C. Gill (Na++K+)-ATPase activity and its dependence on ATP, Na+ and pH, number of gill chloride cells (CC), serum T3 level as well as fish growth, condition factor (K) and mortality were evaluated. During the FW phase, as compared to C trout, T trout showed a two fold higher serum T3 level, had unchanged gill (Na++K+)-ATPase activity and increased CC number, whereas N trout showed higher gill (Na++K+)-ATPase activity and CC number. At the end of the experiment the enzyme activity was in the order T &gt; N &gt; C groups and all groups showed similar CC number. Both treatments changed the enzyme activation kinetics by ATP and Na+. A transient increase in K value occurred in N group during the period of salt administration. In BW, T and N groups had higher and lower survival than C group respectively. Other parameters were unaffected by the treatments. This trial suggests that T3 administration promotes the development of hypoosmoregulatory mechanisms of trout but it leaves the (Na++K+)-ATPase activity unaltered till the transfer to a hyperosmotic environment.","author":[{"dropping-particle":"","family":"Trombetti","given":"Fabiana","non-dropping-particle":"","parse-names":false,"suffix":""},{"dropping-particle":"","family":"Ventrella","given":"Vittoria","non-dropping-particle":"","parse-names":false,"suffix":""},{"dropping-particle":"","family":"Pagliarani","given":"Alessandra","non-dropping-particle":"","parse-names":false,"suffix":""},{"dropping-particle":"","family":"Ballestrazzi","given":"Rodolfo","non-dropping-particle":"","parse-names":false,"suffix":""},{"dropping-particle":"","family":"Galeotti","given":"Marco","non-dropping-particle":"","parse-names":false,"suffix":""},{"dropping-particle":"","family":"Trigari","given":"Gianni","non-dropping-particle":"","parse-names":false,"suffix":""},{"dropping-particle":"","family":"Pirini","given":"Maurizio","non-dropping-particle":"","parse-names":false,"suffix":""},{"dropping-particle":"","family":"Borgatti","given":"Anna Rosa","non-dropping-particle":"","parse-names":false,"suffix":""}],"container-title":"Fish Physiology and Biochemistry","id":"ITEM-3","issue":"3","issued":{"date-parts":[["1996"]]},"page":"265-274","title":"Response of rainbow trout gill (Na++K+)-ATPase and chloride cells to T3 and NaCl administration","type":"article-journal","volume":"15"},"uris":["http://www.mendeley.com/documents/?uuid=0b356488-422d-4eff-88bd-31bf72348021"]},{"id":"ITEM-4","itemData":{"DOI":"10.1046/j.1365-2109.2000.00495.x","ISSN":"1355557X","abstract":"Groups of one-year-old smolts of Arctic charr (Salvelinus alpinus L.) reared under a simulated natural photoperiod were fed pelleted feed with a NaCl content of either 1.5% or 9.5% for 6 weeks before release in a river in northern Norway. There were no differences in growth before release between fish fed the two diets. Smolts fed the 9.5% NaCl diet had better hypo-osmoregulatory ability than those fed the 1.5% diet, and a level of gill Na+-K+-ATPase activity that was several times higher. One of the two groups that had been fed the 9.5% NaCl diet had both a significantly higher recapture rate and growth in sea than the two groups fed the 1.5% NaCl diet, whereas this was not true for the other 9.5% NaCl diet group. The results indicate that a NaCl-enriched diet could be used to ensure sufficient hypo-osmoregulatory ability of charr smolts that would otherwise have insufficient regulatory ability.","author":[{"dropping-particle":"","family":"Staurnes","given":"Magne","non-dropping-particle":"","parse-names":false,"suffix":""},{"dropping-particle":"","family":"Finstad","given":"Bengt","non-dropping-particle":"","parse-names":false,"suffix":""}],"container-title":"Aquaculture Research","id":"ITEM-4","issue":"10","issued":{"date-parts":[["2000"]]},"page":"737-743","title":"The effects of dietary NaCl supplement on hypo-osmoregulatory ability and sea water performance of Arctic charr (Salvelinus alpinus L.) smolts","type":"article-journal","volume":"31"},"uris":["http://www.mendeley.com/documents/?uuid=035bbefc-a73c-4eb6-aafb-a6f3486982b7"]}],"mendeley":{"formattedCitation":"(Zaugg et al. 1983; Trombetti et al. 1996; Staurnes and Finstad 2000; Hanson et al. 2016)","plainTextFormattedCitation":"(Zaugg et al. 1983; Trombetti et al. 1996; Staurnes and Finstad 2000; Hanson et al. 2016)","previouslyFormattedCitation":"(Zaugg et al. 1983; Trombetti et al. 1996; Staurnes and Finstad 2000; Hanson et al. 2016)"},"properties":{"noteIndex":0},"schema":"https://github.com/citation-style-language/schema/raw/master/csl-citation.json"}</w:instrText>
                </w:r>
                <w:r w:rsidRPr="00A72B20">
                  <w:rPr>
                    <w:rFonts w:ascii="Times New Roman" w:eastAsia="Aptos" w:hAnsi="Times New Roman" w:cs="Times New Roman"/>
                    <w:color w:val="000000"/>
                    <w:kern w:val="2"/>
                    <w:sz w:val="24"/>
                    <w:szCs w:val="24"/>
                    <w14:ligatures w14:val="standardContextual"/>
                  </w:rPr>
                  <w:fldChar w:fldCharType="separate"/>
                </w:r>
                <w:r w:rsidRPr="00A72B20">
                  <w:rPr>
                    <w:rFonts w:ascii="Times New Roman" w:eastAsia="Aptos" w:hAnsi="Times New Roman" w:cs="Times New Roman"/>
                    <w:noProof/>
                    <w:color w:val="000000"/>
                    <w:kern w:val="2"/>
                    <w:sz w:val="24"/>
                    <w:szCs w:val="24"/>
                    <w:lang w:val="fr-FR"/>
                    <w14:ligatures w14:val="standardContextual"/>
                  </w:rPr>
                  <w:t>Zaugg et al. 1983; Trombetti et al. 1996; Staurnes and Finstad 2000; Hanson et al. 2016)</w:t>
                </w:r>
                <w:r w:rsidRPr="00A72B20">
                  <w:rPr>
                    <w:rFonts w:ascii="Times New Roman" w:eastAsia="Aptos" w:hAnsi="Times New Roman" w:cs="Times New Roman"/>
                    <w:color w:val="000000"/>
                    <w:kern w:val="2"/>
                    <w:sz w:val="24"/>
                    <w:szCs w:val="24"/>
                    <w14:ligatures w14:val="standardContextual"/>
                  </w:rPr>
                  <w:fldChar w:fldCharType="end"/>
                </w:r>
                <w:r w:rsidRPr="00A72B20">
                  <w:rPr>
                    <w:rFonts w:ascii="Times New Roman" w:eastAsia="Aptos" w:hAnsi="Times New Roman" w:cs="Times New Roman"/>
                    <w:color w:val="000000"/>
                    <w:kern w:val="2"/>
                    <w:sz w:val="24"/>
                    <w:szCs w:val="24"/>
                    <w:lang w:val="fr-FR"/>
                    <w14:ligatures w14:val="standardContextual"/>
                  </w:rPr>
                  <w:t xml:space="preserve">; but </w:t>
                </w:r>
                <w:proofErr w:type="spellStart"/>
                <w:r w:rsidRPr="00A72B20">
                  <w:rPr>
                    <w:rFonts w:ascii="Times New Roman" w:eastAsia="Aptos" w:hAnsi="Times New Roman" w:cs="Times New Roman"/>
                    <w:color w:val="000000"/>
                    <w:kern w:val="2"/>
                    <w:sz w:val="24"/>
                    <w:szCs w:val="24"/>
                    <w:lang w:val="fr-FR"/>
                    <w14:ligatures w14:val="standardContextual"/>
                  </w:rPr>
                  <w:t>also</w:t>
                </w:r>
                <w:proofErr w:type="spellEnd"/>
                <w:r w:rsidRPr="00A72B20">
                  <w:rPr>
                    <w:rFonts w:ascii="Times New Roman" w:eastAsia="Aptos" w:hAnsi="Times New Roman" w:cs="Times New Roman"/>
                    <w:color w:val="000000"/>
                    <w:kern w:val="2"/>
                    <w:sz w:val="24"/>
                    <w:szCs w:val="24"/>
                    <w:lang w:val="fr-FR"/>
                    <w14:ligatures w14:val="standardContextual"/>
                  </w:rPr>
                  <w:t xml:space="preserve"> </w:t>
                </w:r>
                <w:proofErr w:type="spellStart"/>
                <w:r w:rsidRPr="00A72B20">
                  <w:rPr>
                    <w:rFonts w:ascii="Times New Roman" w:eastAsia="Aptos" w:hAnsi="Times New Roman" w:cs="Times New Roman"/>
                    <w:color w:val="000000"/>
                    <w:kern w:val="2"/>
                    <w:sz w:val="24"/>
                    <w:szCs w:val="24"/>
                    <w:lang w:val="fr-FR"/>
                    <w14:ligatures w14:val="standardContextual"/>
                  </w:rPr>
                  <w:t>negative</w:t>
                </w:r>
                <w:proofErr w:type="spellEnd"/>
                <w:r w:rsidRPr="00A72B20">
                  <w:rPr>
                    <w:rFonts w:ascii="Times New Roman" w:eastAsia="Aptos" w:hAnsi="Times New Roman" w:cs="Times New Roman"/>
                    <w:color w:val="000000"/>
                    <w:kern w:val="2"/>
                    <w:sz w:val="24"/>
                    <w:szCs w:val="24"/>
                    <w:lang w:val="fr-FR"/>
                    <w14:ligatures w14:val="standardContextual"/>
                  </w:rPr>
                  <w:t xml:space="preserve"> </w:t>
                </w:r>
                <w:proofErr w:type="spellStart"/>
                <w:r w:rsidRPr="00A72B20">
                  <w:rPr>
                    <w:rFonts w:ascii="Times New Roman" w:eastAsia="Aptos" w:hAnsi="Times New Roman" w:cs="Times New Roman"/>
                    <w:color w:val="000000"/>
                    <w:kern w:val="2"/>
                    <w:sz w:val="24"/>
                    <w:szCs w:val="24"/>
                    <w:lang w:val="fr-FR"/>
                    <w14:ligatures w14:val="standardContextual"/>
                  </w:rPr>
                  <w:t>effects</w:t>
                </w:r>
                <w:proofErr w:type="spellEnd"/>
                <w:r w:rsidRPr="00A72B20">
                  <w:rPr>
                    <w:rFonts w:ascii="Times New Roman" w:eastAsia="Aptos" w:hAnsi="Times New Roman" w:cs="Times New Roman"/>
                    <w:color w:val="000000"/>
                    <w:kern w:val="2"/>
                    <w:sz w:val="24"/>
                    <w:szCs w:val="24"/>
                    <w:lang w:val="fr-FR"/>
                    <w14:ligatures w14:val="standardContextual"/>
                  </w:rPr>
                  <w:t xml:space="preserve"> </w:t>
                </w:r>
                <w:proofErr w:type="spellStart"/>
                <w:r w:rsidRPr="00A72B20">
                  <w:rPr>
                    <w:rFonts w:ascii="Times New Roman" w:eastAsia="Aptos" w:hAnsi="Times New Roman" w:cs="Times New Roman"/>
                    <w:color w:val="000000"/>
                    <w:kern w:val="2"/>
                    <w:sz w:val="24"/>
                    <w:szCs w:val="24"/>
                    <w:lang w:val="fr-FR"/>
                    <w14:ligatures w14:val="standardContextual"/>
                  </w:rPr>
                  <w:t>see</w:t>
                </w:r>
                <w:proofErr w:type="spellEnd"/>
                <w:r w:rsidRPr="00A72B20">
                  <w:rPr>
                    <w:rFonts w:ascii="Times New Roman" w:eastAsia="Aptos" w:hAnsi="Times New Roman" w:cs="Times New Roman"/>
                    <w:color w:val="000000"/>
                    <w:kern w:val="2"/>
                    <w:sz w:val="24"/>
                    <w:szCs w:val="24"/>
                    <w:lang w:val="fr-FR"/>
                    <w14:ligatures w14:val="standardContextual"/>
                  </w:rPr>
                  <w:t xml:space="preserve">: </w:t>
                </w:r>
                <w:r w:rsidRPr="00A72B20">
                  <w:rPr>
                    <w:rFonts w:ascii="Times New Roman" w:eastAsia="Aptos" w:hAnsi="Times New Roman" w:cs="Times New Roman"/>
                    <w:color w:val="000000"/>
                    <w:kern w:val="2"/>
                    <w:sz w:val="24"/>
                    <w:szCs w:val="24"/>
                    <w:lang w:val="fr-FR"/>
                    <w14:ligatures w14:val="standardContextual"/>
                  </w:rPr>
                  <w:fldChar w:fldCharType="begin" w:fldLock="1"/>
                </w:r>
                <w:r w:rsidRPr="00A72B20">
                  <w:rPr>
                    <w:rFonts w:ascii="Times New Roman" w:eastAsia="Aptos" w:hAnsi="Times New Roman" w:cs="Times New Roman"/>
                    <w:color w:val="000000"/>
                    <w:kern w:val="2"/>
                    <w:sz w:val="24"/>
                    <w:szCs w:val="24"/>
                    <w:lang w:val="fr-FR"/>
                    <w14:ligatures w14:val="standardContextual"/>
                  </w:rPr>
                  <w:instrText>ADDIN CSL_CITATION {"citationItems":[{"id":"ITEM-1","itemData":{"DOI":"10.1080/15222055.2016.1185064","ISSN":"15488454","abstract":"Transition diets, often supplemented with salt and other additives, have been used to prepare Pacific salmon Oncorhynchus spp. being moved directly from freshwater to saltwater net pens for aquaculture production. However, the use of transition diets to prepare hatchery-reared salmon released into freshwater prior to out-migration to the ocean has shown mixed results. We compared the physiological (size, condition factor, Na+,K+-ATPase [NKA] enzyme activity, survival during a saltwater challenge) and nutritional (proximate composition, fatty acid profile) condition of juvenile Chinook Salmon O. tshawytscha that were fed either a standard hatchery feed or a commercially available transition diet for the final 6 weeks of hatchery rearing to determine whether the transition diet altered smolt condition. At release, NKA activity of fish fed the transition diet was higher than that of fish fed the control diet, though survival during a saltwater challenge was similar between groups. Differences were seen in the proximate composition of the fish, with increased total body moisture and decreased lipid in the fish fed the transition diet relative to fish fed the control diet. Whole-body fatty acid composition of fish was similar to the fatty acid composition of the feeds in both groups, though some key whole-body fatty acids did not follow this trend. Palmitic acid (16:0), linoleic acid (18:2[n-6]), eicosapentaenoic acid (20:5[n-3]), and docosahexaenoic acid (22:6[n-3]) varied between prefeeding trial samples and fish fed the two diets. Further research is required to determine whether the physiological changes that occurred are related to smoltification or the maintenance of osmotic balance while fish are fed additional salt. Received October 13, 2015; accepted April 3, 2016","author":[{"dropping-particle":"","family":"Hanson","given":"Kyle C.","non-dropping-particle":"","parse-names":false,"suffix":""},{"dropping-particle":"","family":"Twibell","given":"Ronald G.","non-dropping-particle":"","parse-names":false,"suffix":""},{"dropping-particle":"","family":"Glenn","given":"Richard A.","non-dropping-particle":"","parse-names":false,"suffix":""},{"dropping-particle":"","family":"Barron","given":"James M.","non-dropping-particle":"","parse-names":false,"suffix":""},{"dropping-particle":"","family":"Gannam","given":"Ann L.","non-dropping-particle":"","parse-names":false,"suffix":""}],"container-title":"North American Journal of Aquaculture","id":"ITEM-1","issue":"4","issued":{"date-parts":[["2016"]]},"page":"307-313","title":"The Effects of a Transition Diet on the Smoltification of Chinook Salmon","type":"article-journal","volume":"78"},"uris":["http://www.mendeley.com/documents/?uuid=fca22819-1109-4cb0-9627-c01ff99c44cc"]},{"id":"ITEM-2","itemData":{"DOI":"10.1007/BF01875577","ISSN":"09201742","abstract":"With the aim of comparing the effects of oral T3 and NaCl administration on trout hypoosmoregulatory mechanisms, three groups of rainbow trout (Oncorhynchus mykiss Walbaum) held in freshwater (FW) were fed a basal diet (C), the same diet containing 8.83 ppm of 3,5,3'-triiodo-L-thyronine (T3) (T) or 10% (w/w) NaCl (N) respectively for 30 d. They were then transferred to brackish water (BW) for 22 d and fed on diet C. Gill (Na++K+)-ATPase activity and its dependence on ATP, Na+ and pH, number of gill chloride cells (CC), serum T3 level as well as fish growth, condition factor (K) and mortality were evaluated. During the FW phase, as compared to C trout, T trout showed a two fold higher serum T3 level, had unchanged gill (Na++K+)-ATPase activity and increased CC number, whereas N trout showed higher gill (Na++K+)-ATPase activity and CC number. At the end of the experiment the enzyme activity was in the order T &gt; N &gt; C groups and all groups showed similar CC number. Both treatments changed the enzyme activation kinetics by ATP and Na+. A transient increase in K value occurred in N group during the period of salt administration. In BW, T and N groups had higher and lower survival than C group respectively. Other parameters were unaffected by the treatments. This trial suggests that T3 administration promotes the development of hypoosmoregulatory mechanisms of trout but it leaves the (Na++K+)-ATPase activity unaltered till the transfer to a hyperosmotic environment.","author":[{"dropping-particle":"","family":"Trombetti","given":"Fabiana","non-dropping-particle":"","parse-names":false,"suffix":""},{"dropping-particle":"","family":"Ventrella","given":"Vittoria","non-dropping-pa</w:instrText>
                </w:r>
                <w:r w:rsidRPr="00A72B20">
                  <w:rPr>
                    <w:rFonts w:ascii="Times New Roman" w:eastAsia="Aptos" w:hAnsi="Times New Roman" w:cs="Times New Roman"/>
                    <w:color w:val="000000"/>
                    <w:kern w:val="2"/>
                    <w:sz w:val="24"/>
                    <w:szCs w:val="24"/>
                    <w14:ligatures w14:val="standardContextual"/>
                  </w:rPr>
                  <w:instrText>rticle":"","parse-names":false,"suffix":""},{"dropping-particle":"","family":"Pagliarani","given":"Alessandra","non-dropping-particle":"","parse-names":false,"suffix":""},{"dropping-particle":"","family":"Ballestrazzi","given":"Rodolfo","non-dropping-particle":"","parse-names":false,"suffix":""},{"dropping-particle":"","family":"Galeotti","given":"Marco","non-dropping-particle":"","parse-names":false,"suffix":""},{"dropping-particle":"","family":"Trigari","given":"Gianni","non-dropping-particle":"","parse-names":false,"suffix":""},{"dropping-particle":"","family":"Pirini","given":"Maurizio","non-dropping-particle":"","parse-names":false,"suffix":""},{"dropping-particle":"","family":"Borgatti","given":"Anna Rosa","non-dropping-particle":"","parse-names":false,"suffix":""}],"container-title":"Fish Physiology and Biochemistry","id":"ITEM-2","issue":"3","issued":{"date-parts":[["1996"]]},"page":"265-274","title":"Response of rainbow trout gill (Na++K+)-ATPase and chloride cells to T3 and NaCl administration","type":"article-journal","volume":"15"},"uris":["http://www.mendeley.com/documents/?uuid=0b356488-422d-4eff-88bd-31bf72348021"]}],"mendeley":{"formattedCitation":"(Trombetti et al. 1996; Hanson et al. 2016)","plainTextFormattedCitation":"(Trombetti et al. 1996; Hanson et al. 2016)","previouslyFormattedCitation":"(Trombetti et al. 1996; Hanson et al. 2016)"},"properties":{"noteIndex":0},"schema":"https://github.com/citation-style-language/schema/raw/master/csl-citation.json"}</w:instrText>
                </w:r>
                <w:r w:rsidRPr="00A72B20">
                  <w:rPr>
                    <w:rFonts w:ascii="Times New Roman" w:eastAsia="Aptos" w:hAnsi="Times New Roman" w:cs="Times New Roman"/>
                    <w:color w:val="000000"/>
                    <w:kern w:val="2"/>
                    <w:sz w:val="24"/>
                    <w:szCs w:val="24"/>
                    <w:lang w:val="fr-FR"/>
                    <w14:ligatures w14:val="standardContextual"/>
                  </w:rPr>
                  <w:fldChar w:fldCharType="separate"/>
                </w:r>
                <w:r w:rsidRPr="00A72B20">
                  <w:rPr>
                    <w:rFonts w:ascii="Times New Roman" w:eastAsia="Aptos" w:hAnsi="Times New Roman" w:cs="Times New Roman"/>
                    <w:noProof/>
                    <w:color w:val="000000"/>
                    <w:kern w:val="2"/>
                    <w:sz w:val="24"/>
                    <w:szCs w:val="24"/>
                    <w14:ligatures w14:val="standardContextual"/>
                  </w:rPr>
                  <w:t>Trombetti et al. 1996; Hanson et al. 2016)</w:t>
                </w:r>
                <w:r w:rsidRPr="00A72B20">
                  <w:rPr>
                    <w:rFonts w:ascii="Times New Roman" w:eastAsia="Aptos" w:hAnsi="Times New Roman" w:cs="Times New Roman"/>
                    <w:color w:val="000000"/>
                    <w:kern w:val="2"/>
                    <w:sz w:val="24"/>
                    <w:szCs w:val="24"/>
                    <w:lang w:val="fr-FR"/>
                    <w14:ligatures w14:val="standardContextual"/>
                  </w:rPr>
                  <w:fldChar w:fldCharType="end"/>
                </w:r>
                <w:r w:rsidRPr="00A72B20">
                  <w:rPr>
                    <w:rFonts w:ascii="Times New Roman" w:eastAsia="Aptos" w:hAnsi="Times New Roman" w:cs="Times New Roman"/>
                    <w:color w:val="000000"/>
                    <w:kern w:val="2"/>
                    <w:sz w:val="24"/>
                    <w:szCs w:val="24"/>
                    <w14:ligatures w14:val="standardContextual"/>
                  </w:rPr>
                  <w:t>. Manipulating the diet represents a feasible and relatively simple approach to further improve the smoltification success and thus early marine survival of hatchery salmon in BC. In collaboration with the DFO Salmon Enhancement Program, the objective of the present study was to investigate the impact of a seawater transition diet (Adapt Flex-transition diet vs control diet), on the smoltification, growth and survival of stream-type (ST, typically resides in freshwater for &gt;1 year prior to migrating to the ocean) and ocean-type (OT, typically resides in freshwater for &lt;6 months) Chinook salmon (</w:t>
                </w:r>
                <w:r w:rsidRPr="00A72B20">
                  <w:rPr>
                    <w:rFonts w:ascii="Times New Roman" w:eastAsia="Aptos" w:hAnsi="Times New Roman" w:cs="Times New Roman"/>
                    <w:i/>
                    <w:iCs/>
                    <w:color w:val="000000"/>
                    <w:kern w:val="2"/>
                    <w:sz w:val="24"/>
                    <w:szCs w:val="24"/>
                    <w14:ligatures w14:val="standardContextual"/>
                  </w:rPr>
                  <w:t xml:space="preserve">Oncorhynchus tshawytscha ) </w:t>
                </w:r>
                <w:r w:rsidRPr="00A72B20">
                  <w:rPr>
                    <w:rFonts w:ascii="Times New Roman" w:eastAsia="Aptos" w:hAnsi="Times New Roman" w:cs="Times New Roman"/>
                    <w:color w:val="000000"/>
                    <w:kern w:val="2"/>
                    <w:sz w:val="24"/>
                    <w:szCs w:val="24"/>
                    <w14:ligatures w14:val="standardContextual"/>
                  </w:rPr>
                  <w:t xml:space="preserve">during the transition from freshwater to seawater. </w:t>
                </w:r>
              </w:p>
              <w:p w14:paraId="00A50524" w14:textId="31271C95" w:rsidR="002E013F" w:rsidRDefault="002E013F"/>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EndPr/>
          <w:sdtContent>
            <w:tc>
              <w:tcPr>
                <w:tcW w:w="9350" w:type="dxa"/>
              </w:tcPr>
              <w:p w14:paraId="15D7F1FA" w14:textId="77777777" w:rsidR="008F4E2C" w:rsidRPr="008F4E2C" w:rsidRDefault="008F4E2C" w:rsidP="008F4E2C">
                <w:pPr>
                  <w:pStyle w:val="NoSpacing"/>
                  <w:rPr>
                    <w:rFonts w:ascii="Times New Roman" w:eastAsia="Aptos" w:hAnsi="Times New Roman" w:cs="Times New Roman"/>
                    <w:color w:val="000000"/>
                    <w:kern w:val="2"/>
                    <w:sz w:val="24"/>
                    <w:szCs w:val="24"/>
                    <w14:ligatures w14:val="standardContextual"/>
                  </w:rPr>
                </w:pPr>
                <w:r w:rsidRPr="008F4E2C">
                  <w:rPr>
                    <w:rFonts w:ascii="Times New Roman" w:eastAsia="Aptos" w:hAnsi="Times New Roman" w:cs="Times New Roman"/>
                    <w:color w:val="000000"/>
                    <w:kern w:val="2"/>
                    <w:sz w:val="24"/>
                    <w:szCs w:val="24"/>
                    <w14:ligatures w14:val="standardContextual"/>
                  </w:rPr>
                  <w:t>On March 18</w:t>
                </w:r>
                <w:r w:rsidRPr="008F4E2C">
                  <w:rPr>
                    <w:rFonts w:ascii="Times New Roman" w:eastAsia="Aptos" w:hAnsi="Times New Roman" w:cs="Times New Roman"/>
                    <w:color w:val="000000"/>
                    <w:kern w:val="2"/>
                    <w:sz w:val="24"/>
                    <w:szCs w:val="24"/>
                    <w:vertAlign w:val="superscript"/>
                    <w14:ligatures w14:val="standardContextual"/>
                  </w:rPr>
                  <w:t>th</w:t>
                </w:r>
                <w:r w:rsidRPr="008F4E2C">
                  <w:rPr>
                    <w:rFonts w:ascii="Times New Roman" w:eastAsia="Aptos" w:hAnsi="Times New Roman" w:cs="Times New Roman"/>
                    <w:color w:val="000000"/>
                    <w:kern w:val="2"/>
                    <w:sz w:val="24"/>
                    <w:szCs w:val="24"/>
                    <w14:ligatures w14:val="standardContextual"/>
                  </w:rPr>
                  <w:t xml:space="preserve"> 2025, stream type (ST) and ocean type (OT) Chinook salmon from Chilliwack hatchery were transferred to 200 L indoor tanks (N=4 tanks per treatment, per strain) at 10°C under natural photoperiod at Pacific Science Enterprise Centre (PSEC), in West Vancouver, BC. Fish were fed control diets to satiation 3-4 times daily until the start of the experiment. The experiment started on April 2, 2025 for ST Chinook (control: 4.96 ± 0.02 g, 7.58 ± 0.01 cm; treatment: 4.87 ± 0.05 g, 7.55 ± 0.03 cm) and April 30, 2025 for OT Chinook (control: 4.29 ± 0.03 g, 7.30 ± 0.02 cm), respectively. These timings were also around 5 weeks before the time when the fish would usually be released by the hatchery to begin their outmigration. Fish (N = 55 per tank for ST, and N = 50 per fish for OT; 4 tanks per diet treatment per life stage) were fed one of two diets to satiation daily during a 5 week growth trial in freshwater: control (</w:t>
                </w:r>
                <w:proofErr w:type="spellStart"/>
                <w:r w:rsidRPr="008F4E2C">
                  <w:rPr>
                    <w:rFonts w:ascii="Times New Roman" w:eastAsia="Aptos" w:hAnsi="Times New Roman" w:cs="Times New Roman"/>
                    <w:color w:val="000000"/>
                    <w:kern w:val="2"/>
                    <w:sz w:val="24"/>
                    <w:szCs w:val="24"/>
                    <w14:ligatures w14:val="standardContextual"/>
                  </w:rPr>
                  <w:t>BioClark’s</w:t>
                </w:r>
                <w:proofErr w:type="spellEnd"/>
                <w:r w:rsidRPr="008F4E2C">
                  <w:rPr>
                    <w:rFonts w:ascii="Times New Roman" w:eastAsia="Aptos" w:hAnsi="Times New Roman" w:cs="Times New Roman"/>
                    <w:color w:val="000000"/>
                    <w:kern w:val="2"/>
                    <w:sz w:val="24"/>
                    <w:szCs w:val="24"/>
                    <w14:ligatures w14:val="standardContextual"/>
                  </w:rPr>
                  <w:t xml:space="preserve"> Fry, 3.0 mm, Bio-Oregon, Canada) or treatment transition diet (Adapt Flex 3 mm, EWOS, Canada), which contained 5% NaCl, and additional other proprietary ingredients (e.g. an immunostimulant compound and mix of exclusive nucleotide). Fish were maintained on their treatment diets for an additional 34 days (ST) and 7 days (OT) until the seawater transition. The timing of the seawater transition was determined when the majority of the fish in experiment tanks showed visual cues of smolt transformation, specifically the development of silvering body </w:t>
                </w:r>
                <w:proofErr w:type="spellStart"/>
                <w:r w:rsidRPr="008F4E2C">
                  <w:rPr>
                    <w:rFonts w:ascii="Times New Roman" w:eastAsia="Aptos" w:hAnsi="Times New Roman" w:cs="Times New Roman"/>
                    <w:color w:val="000000"/>
                    <w:kern w:val="2"/>
                    <w:sz w:val="24"/>
                    <w:szCs w:val="24"/>
                    <w14:ligatures w14:val="standardContextual"/>
                  </w:rPr>
                  <w:t>colour</w:t>
                </w:r>
                <w:proofErr w:type="spellEnd"/>
                <w:r w:rsidRPr="008F4E2C">
                  <w:rPr>
                    <w:rFonts w:ascii="Times New Roman" w:eastAsia="Aptos" w:hAnsi="Times New Roman" w:cs="Times New Roman"/>
                    <w:color w:val="000000"/>
                    <w:kern w:val="2"/>
                    <w:sz w:val="24"/>
                    <w:szCs w:val="24"/>
                    <w14:ligatures w14:val="standardContextual"/>
                  </w:rPr>
                  <w:t xml:space="preserve">, and fading of parr marks. The fish were transitioned to seawater over 1 day, and then all fish were fed the same control diet for 4 weeks, after which the experiment was terminated and all remaining fish were euthanized (TMS at 0.2 g/L).  </w:t>
                </w:r>
              </w:p>
              <w:p w14:paraId="186AB4E7"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p>
              <w:p w14:paraId="50AAB46B"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r w:rsidRPr="008F4E2C">
                  <w:rPr>
                    <w:rFonts w:ascii="Times New Roman" w:eastAsia="Aptos" w:hAnsi="Times New Roman" w:cs="Times New Roman"/>
                    <w:color w:val="000000"/>
                    <w:kern w:val="2"/>
                    <w:sz w:val="24"/>
                    <w:szCs w:val="24"/>
                    <w14:ligatures w14:val="standardContextual"/>
                  </w:rPr>
                  <w:t>Fish were sampled for body size (mass and fork length) and gill Na</w:t>
                </w:r>
                <w:r w:rsidRPr="008F4E2C">
                  <w:rPr>
                    <w:rFonts w:ascii="Times New Roman" w:eastAsia="Aptos" w:hAnsi="Times New Roman" w:cs="Times New Roman"/>
                    <w:color w:val="000000"/>
                    <w:kern w:val="2"/>
                    <w:sz w:val="24"/>
                    <w:szCs w:val="24"/>
                    <w:vertAlign w:val="superscript"/>
                    <w14:ligatures w14:val="standardContextual"/>
                  </w:rPr>
                  <w:t>+</w:t>
                </w:r>
                <w:r w:rsidRPr="008F4E2C">
                  <w:rPr>
                    <w:rFonts w:ascii="Times New Roman" w:eastAsia="Aptos" w:hAnsi="Times New Roman" w:cs="Times New Roman"/>
                    <w:color w:val="000000"/>
                    <w:kern w:val="2"/>
                    <w:sz w:val="24"/>
                    <w:szCs w:val="24"/>
                    <w14:ligatures w14:val="standardContextual"/>
                  </w:rPr>
                  <w:t>, K</w:t>
                </w:r>
                <w:r w:rsidRPr="008F4E2C">
                  <w:rPr>
                    <w:rFonts w:ascii="Times New Roman" w:eastAsia="Aptos" w:hAnsi="Times New Roman" w:cs="Times New Roman"/>
                    <w:color w:val="000000"/>
                    <w:kern w:val="2"/>
                    <w:sz w:val="24"/>
                    <w:szCs w:val="24"/>
                    <w:vertAlign w:val="superscript"/>
                    <w14:ligatures w14:val="standardContextual"/>
                  </w:rPr>
                  <w:t xml:space="preserve">+ </w:t>
                </w:r>
                <w:r w:rsidRPr="008F4E2C">
                  <w:rPr>
                    <w:rFonts w:ascii="Times New Roman" w:eastAsia="Aptos" w:hAnsi="Times New Roman" w:cs="Times New Roman"/>
                    <w:color w:val="000000"/>
                    <w:kern w:val="2"/>
                    <w:sz w:val="24"/>
                    <w:szCs w:val="24"/>
                    <w14:ligatures w14:val="standardContextual"/>
                  </w:rPr>
                  <w:t xml:space="preserve">ATPase (NKA; 5 - 8 fish per tank per sampling time, except on day 0, when total 30 fish were sampled prior to tank stocking) on: (1) day 0; (2) after 5 weeks on the experimental diets in freshwater; (3) 1 day after seawater transition; and (4) after 4 weeks in seawater. The Specific growth Rate (SGR) </w:t>
                </w:r>
                <w:r w:rsidRPr="008F4E2C">
                  <w:rPr>
                    <w:rFonts w:ascii="Times New Roman" w:eastAsia="Aptos" w:hAnsi="Times New Roman" w:cs="Times New Roman"/>
                    <w:color w:val="000000"/>
                    <w:kern w:val="2"/>
                    <w:sz w:val="24"/>
                    <w:szCs w:val="24"/>
                    <w14:ligatures w14:val="standardContextual"/>
                  </w:rPr>
                  <w:lastRenderedPageBreak/>
                  <w:t xml:space="preserve">for each replicate tank was calculated for 2 periods: (1) the 5-week freshwater trial; (2) from the end of freshwater trial to the end of the seawater trial, using the formula below: </w:t>
                </w:r>
              </w:p>
              <w:p w14:paraId="3FD8570B"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r w:rsidRPr="008F4E2C">
                  <w:rPr>
                    <w:rFonts w:ascii="Times New Roman" w:eastAsia="Aptos" w:hAnsi="Times New Roman" w:cs="Times New Roman"/>
                    <w:color w:val="000000"/>
                    <w:kern w:val="2"/>
                    <w:sz w:val="24"/>
                    <w:szCs w:val="24"/>
                    <w14:ligatures w14:val="standardContextual"/>
                  </w:rPr>
                  <w:t>SGR (%) = [ln (F) – ln (I)] × 100 / T</w:t>
                </w:r>
              </w:p>
              <w:p w14:paraId="69902998"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r w:rsidRPr="008F4E2C">
                  <w:rPr>
                    <w:rFonts w:ascii="Times New Roman" w:eastAsia="Aptos" w:hAnsi="Times New Roman" w:cs="Times New Roman"/>
                    <w:color w:val="000000"/>
                    <w:kern w:val="2"/>
                    <w:sz w:val="24"/>
                    <w:szCs w:val="24"/>
                    <w14:ligatures w14:val="standardContextual"/>
                  </w:rPr>
                  <w:t xml:space="preserve">Where I = initial mean fish weight per tank (g), F = final mean fish weight per tank (g), and T = experiment duration (days) </w:t>
                </w:r>
              </w:p>
              <w:p w14:paraId="5A989BEF"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r w:rsidRPr="008F4E2C">
                  <w:rPr>
                    <w:rFonts w:ascii="Times New Roman" w:eastAsia="Aptos" w:hAnsi="Times New Roman" w:cs="Times New Roman"/>
                    <w:color w:val="000000"/>
                    <w:kern w:val="2"/>
                    <w:sz w:val="24"/>
                    <w:szCs w:val="24"/>
                    <w14:ligatures w14:val="standardContextual"/>
                  </w:rPr>
                  <w:t>Enzyme activities of gill Na</w:t>
                </w:r>
                <w:r w:rsidRPr="008F4E2C">
                  <w:rPr>
                    <w:rFonts w:ascii="Times New Roman" w:eastAsia="Aptos" w:hAnsi="Times New Roman" w:cs="Times New Roman"/>
                    <w:color w:val="000000"/>
                    <w:kern w:val="2"/>
                    <w:sz w:val="24"/>
                    <w:szCs w:val="24"/>
                    <w:vertAlign w:val="superscript"/>
                    <w14:ligatures w14:val="standardContextual"/>
                  </w:rPr>
                  <w:t>+</w:t>
                </w:r>
                <w:r w:rsidRPr="008F4E2C">
                  <w:rPr>
                    <w:rFonts w:ascii="Times New Roman" w:eastAsia="Aptos" w:hAnsi="Times New Roman" w:cs="Times New Roman"/>
                    <w:color w:val="000000"/>
                    <w:kern w:val="2"/>
                    <w:sz w:val="24"/>
                    <w:szCs w:val="24"/>
                    <w14:ligatures w14:val="standardContextual"/>
                  </w:rPr>
                  <w:t xml:space="preserve"> K</w:t>
                </w:r>
                <w:r w:rsidRPr="008F4E2C">
                  <w:rPr>
                    <w:rFonts w:ascii="Times New Roman" w:eastAsia="Aptos" w:hAnsi="Times New Roman" w:cs="Times New Roman"/>
                    <w:color w:val="000000"/>
                    <w:kern w:val="2"/>
                    <w:sz w:val="24"/>
                    <w:szCs w:val="24"/>
                    <w:vertAlign w:val="superscript"/>
                    <w14:ligatures w14:val="standardContextual"/>
                  </w:rPr>
                  <w:t xml:space="preserve">+ </w:t>
                </w:r>
                <w:r w:rsidRPr="008F4E2C">
                  <w:rPr>
                    <w:rFonts w:ascii="Times New Roman" w:eastAsia="Aptos" w:hAnsi="Times New Roman" w:cs="Times New Roman"/>
                    <w:color w:val="000000"/>
                    <w:kern w:val="2"/>
                    <w:sz w:val="24"/>
                    <w:szCs w:val="24"/>
                    <w14:ligatures w14:val="standardContextual"/>
                  </w:rPr>
                  <w:t xml:space="preserve">ATPase (NKA) were analyzed using methods as described by </w:t>
                </w:r>
                <w:r w:rsidRPr="008F4E2C">
                  <w:rPr>
                    <w:rFonts w:ascii="Times New Roman" w:eastAsia="Aptos" w:hAnsi="Times New Roman" w:cs="Times New Roman"/>
                    <w:color w:val="000000"/>
                    <w:kern w:val="2"/>
                    <w:sz w:val="24"/>
                    <w:szCs w:val="24"/>
                    <w14:ligatures w14:val="standardContextual"/>
                  </w:rPr>
                  <w:fldChar w:fldCharType="begin" w:fldLock="1"/>
                </w:r>
                <w:r w:rsidRPr="008F4E2C">
                  <w:rPr>
                    <w:rFonts w:ascii="Times New Roman" w:eastAsia="Aptos" w:hAnsi="Times New Roman" w:cs="Times New Roman"/>
                    <w:color w:val="000000"/>
                    <w:kern w:val="2"/>
                    <w:sz w:val="24"/>
                    <w:szCs w:val="24"/>
                    <w14:ligatures w14:val="standardContextual"/>
                  </w:rPr>
                  <w:instrText>ADDIN CSL_CITATION {"citationItems":[{"id":"ITEM-1","itemData":{"abstract":"McCormick, S. B. 1993. Methods for nonlethal gill biopsy and measurement of Na*, K * -ATPase activity. Can. j. Fish. Aquat. Sci. 50: 656-658. A gill biopsy, in which a small portion of gill tissue was removed from anesthetized fish, was shown to have no detrimental effect ow subsequent survival, growth, and salinity tolerance of juvenile Atlantic salmon (Salmo salar). A method for measurement of Na', K'-ATPase activity in this small amount of gill tissue i s presented. These methods are useful for nonlethal monitoring of physiological smolt characteristics in salmonids and may have applications in the study of disease, toxicology, and physiolsgicai ecology of many Fish species. Une biopsie des brawchies, qui consiste 2 prklever un petit fragment de tissu branchial chez des poissons anes-thksies, n'a pas eu d'effet nuisible sur Ia survie, la croissance et la tol6rance a la salinitk de juveniles de saumons de I'Atlantique (Saimo saiar). L'auteur dkcrit une rnethode de mesure de I'activit6 de la Na*, K * -ATPase dans B e petit morceau de tissu preleve par biopsie. Cette methode s'av8t-e utile au contr6le non l6tal de caract4ristiques pkysiologiqgles de smolts de salmonides et pourrait sans doute avoir des applications dans Ifetude de la patho-logie, de la toxicologie et de If6cologie physiologique d'un grand nonabre d'esp$ces de psissons. Received june 25, 1992 Accepted September 3, 1 992 (JB53.5) R e p le 25 juin 1992 Accept6 be 3 septembre f 992 N a', K +-ATPase is an ion-translocating enzyme prerent in 1 100-L tanks continuously supplied with fresh water (10°C) in all animal cells. It is present in extremely high csn-and aeration. Lighting was provided by overhead fluorescent centration in salt-transporting tissues such as the ver-lights and daylength was altered twice weekly to provide a tebrate kidney, salt glands of birds, rectal glands of sharks, and simulated natural daylength. Seawater exposure was conducted chloride cells of teleosts (Kamaky 1986). In chloride cells, in aerated 360-L tanks with continuous filtration through paper Na' , K'-ATPase creates ionic and electrical gradients that are and charcoal. used for salt secretion in seawater, and possibly for ion uptake in fresh water (Silva et al. 1977; Zadunaisky 1984; Pequeux Gill Biopsy et al. 1988; Avella and Bornancan 1990). In addition to its fundamental irnpofiance to ion transport in fish, gill Naf , K+-ATPase activity is often used as an indicator of the parr-srnolt transformation of ju…","author":[{"dropping-particle":"","family":"Mccormick","given":"Stephen D","non-dropping-particle":"","parse-names":false,"suffix":""}],"container-title":"Canadian Journal of Aquatic Sciences","id":"ITEM-1","issued":{"date-parts":[["1993"]]},"page":"9-11","title":"Methods for non biopsy and measurement of Na+, K+-ATPase activity","type":"article-journal","volume":"50"},"uris":["http://www.mendeley.com/documents/?uuid=81a2e420-0d7a-4fde-aaa8-1597f45677ab"]}],"mendeley":{"formattedCitation":"(Mccormick 1993)","manualFormatting":"Mccormick (1993)","plainTextFormattedCitation":"(Mccormick 1993)","previouslyFormattedCitation":"(Mccormick 1993)"},"properties":{"noteIndex":0},"schema":"https://github.com/citation-style-language/schema/raw/master/csl-citation.json"}</w:instrText>
                </w:r>
                <w:r w:rsidRPr="008F4E2C">
                  <w:rPr>
                    <w:rFonts w:ascii="Times New Roman" w:eastAsia="Aptos" w:hAnsi="Times New Roman" w:cs="Times New Roman"/>
                    <w:color w:val="000000"/>
                    <w:kern w:val="2"/>
                    <w:sz w:val="24"/>
                    <w:szCs w:val="24"/>
                    <w14:ligatures w14:val="standardContextual"/>
                  </w:rPr>
                  <w:fldChar w:fldCharType="separate"/>
                </w:r>
                <w:r w:rsidRPr="008F4E2C">
                  <w:rPr>
                    <w:rFonts w:ascii="Times New Roman" w:eastAsia="Aptos" w:hAnsi="Times New Roman" w:cs="Times New Roman"/>
                    <w:noProof/>
                    <w:color w:val="000000"/>
                    <w:kern w:val="2"/>
                    <w:sz w:val="24"/>
                    <w:szCs w:val="24"/>
                    <w14:ligatures w14:val="standardContextual"/>
                  </w:rPr>
                  <w:t>Mccormick (1993)</w:t>
                </w:r>
                <w:r w:rsidRPr="008F4E2C">
                  <w:rPr>
                    <w:rFonts w:ascii="Times New Roman" w:eastAsia="Aptos" w:hAnsi="Times New Roman" w:cs="Times New Roman"/>
                    <w:color w:val="000000"/>
                    <w:kern w:val="2"/>
                    <w:sz w:val="24"/>
                    <w:szCs w:val="24"/>
                    <w14:ligatures w14:val="standardContextual"/>
                  </w:rPr>
                  <w:fldChar w:fldCharType="end"/>
                </w:r>
                <w:r w:rsidRPr="008F4E2C">
                  <w:rPr>
                    <w:rFonts w:ascii="Times New Roman" w:eastAsia="Aptos" w:hAnsi="Times New Roman" w:cs="Times New Roman"/>
                    <w:color w:val="000000"/>
                    <w:kern w:val="2"/>
                    <w:sz w:val="24"/>
                    <w:szCs w:val="24"/>
                    <w14:ligatures w14:val="standardContextual"/>
                  </w:rPr>
                  <w:t xml:space="preserve">.  </w:t>
                </w:r>
              </w:p>
              <w:p w14:paraId="2BA3195C"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r w:rsidRPr="008F4E2C">
                  <w:rPr>
                    <w:rFonts w:ascii="Times New Roman" w:eastAsia="Aptos" w:hAnsi="Times New Roman" w:cs="Times New Roman"/>
                    <w:color w:val="000000"/>
                    <w:kern w:val="2"/>
                    <w:sz w:val="24"/>
                    <w:szCs w:val="24"/>
                    <w14:ligatures w14:val="standardContextual"/>
                  </w:rPr>
                  <w:t xml:space="preserve">Fish growth and gill NKA levels were analyzed using two-way analysis of variance (ANOVA) using </w:t>
                </w:r>
                <w:proofErr w:type="spellStart"/>
                <w:r w:rsidRPr="008F4E2C">
                  <w:rPr>
                    <w:rFonts w:ascii="Times New Roman" w:eastAsia="Aptos" w:hAnsi="Times New Roman" w:cs="Times New Roman"/>
                    <w:color w:val="000000"/>
                    <w:kern w:val="2"/>
                    <w:sz w:val="24"/>
                    <w:szCs w:val="24"/>
                    <w14:ligatures w14:val="standardContextual"/>
                  </w:rPr>
                  <w:t>Sigmaplot</w:t>
                </w:r>
                <w:proofErr w:type="spellEnd"/>
                <w:r w:rsidRPr="008F4E2C">
                  <w:rPr>
                    <w:rFonts w:ascii="Times New Roman" w:eastAsia="Aptos" w:hAnsi="Times New Roman" w:cs="Times New Roman"/>
                    <w:color w:val="000000"/>
                    <w:kern w:val="2"/>
                    <w:sz w:val="24"/>
                    <w:szCs w:val="24"/>
                    <w14:ligatures w14:val="standardContextual"/>
                  </w:rPr>
                  <w:t xml:space="preserve"> 14. A statistical level of 0.05 is considered significant, and all data were expressed as mean ± standard error of the mean (SEM). </w:t>
                </w:r>
              </w:p>
              <w:p w14:paraId="2B10A9BA"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p>
              <w:p w14:paraId="394C0D1A" w14:textId="77777777" w:rsidR="008F4E2C" w:rsidRPr="008F4E2C" w:rsidRDefault="008F4E2C" w:rsidP="008F4E2C">
                <w:pPr>
                  <w:rPr>
                    <w:rFonts w:ascii="Times New Roman" w:eastAsia="Aptos" w:hAnsi="Times New Roman" w:cs="Times New Roman"/>
                    <w:color w:val="000000"/>
                    <w:kern w:val="2"/>
                    <w:sz w:val="24"/>
                    <w:szCs w:val="24"/>
                    <w14:ligatures w14:val="standardContextual"/>
                  </w:rPr>
                </w:pPr>
                <w:r w:rsidRPr="008F4E2C">
                  <w:rPr>
                    <w:rFonts w:ascii="Times New Roman" w:eastAsia="Aptos" w:hAnsi="Times New Roman" w:cs="Times New Roman"/>
                    <w:color w:val="000000"/>
                    <w:kern w:val="2"/>
                    <w:sz w:val="24"/>
                    <w:szCs w:val="24"/>
                    <w14:ligatures w14:val="standardContextual"/>
                  </w:rPr>
                  <w:t xml:space="preserve">Overall, there were no differences in the trends between OT and ST Chinook salmon. Survival was excellent for both ST and OT Chinook salmon throughout the entire study (&gt;91% across Chinook strains and diet treatments; Table 1). As expected, gill NKA activity increased during the experiment, indicating that smoltification processes were progressing over time (Figure 1; significant main effect of sampling stage; ST p = 0.002; OT p&lt;0.001). However, there were no differences in gill NKA levels between diet treatments (ST: p = 0.21; OT: p = 0.30). For growth, fish grew faster on the control diet compared to the transition diet, but only in freshwater (Figure 2; significant interaction between diet and sampling stage; ST: p &lt; 0.001; OT: p = 0.028). In freshwater, control fish had significantly higher SGR than the treatment fish. However, in seawater, SGR were similar for both groups, when all fish were fed the same control diet. Notably, SGR levels were much lower (up to 50% reduced) in seawater compared to freshwater (Figure 2). </w:t>
                </w:r>
              </w:p>
              <w:p w14:paraId="711F9075" w14:textId="359F71B1" w:rsidR="001527C3" w:rsidRDefault="001527C3" w:rsidP="008F3E29"/>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EndPr/>
          <w:sdtContent>
            <w:tc>
              <w:tcPr>
                <w:tcW w:w="9350" w:type="dxa"/>
              </w:tcPr>
              <w:p w14:paraId="30B1F7A4" w14:textId="77777777" w:rsidR="0018140A" w:rsidRPr="0018140A" w:rsidRDefault="0018140A" w:rsidP="0018140A">
                <w:pPr>
                  <w:pStyle w:val="NoSpacing"/>
                  <w:rPr>
                    <w:rFonts w:ascii="Times New Roman" w:eastAsia="Aptos" w:hAnsi="Times New Roman" w:cs="Times New Roman"/>
                    <w:color w:val="000000"/>
                    <w:kern w:val="2"/>
                    <w:sz w:val="24"/>
                    <w:szCs w:val="24"/>
                    <w14:ligatures w14:val="standardContextual"/>
                  </w:rPr>
                </w:pPr>
                <w:r w:rsidRPr="0018140A">
                  <w:rPr>
                    <w:rFonts w:ascii="Times New Roman" w:eastAsia="Aptos" w:hAnsi="Times New Roman" w:cs="Times New Roman"/>
                    <w:color w:val="000000"/>
                    <w:kern w:val="2"/>
                    <w:sz w:val="24"/>
                    <w:szCs w:val="24"/>
                    <w14:ligatures w14:val="standardContextual"/>
                  </w:rPr>
                  <w:t xml:space="preserve">This study investigated the effects of a transition diet on the smoltification development, growth and survival of ST and OT Chinook salmon during the transition from freshwater to seawater with the overall goal to improve early marine life survival. Throughout the lab experiment, all fish appeared robust, as they were able to handle multiple handling and sampling events without showing obvious adverse effects such as post sampling mortalities. By the end of the study, regardless of the diet, both ST and OT Chinook salmon apparently </w:t>
                </w:r>
                <w:proofErr w:type="spellStart"/>
                <w:r w:rsidRPr="0018140A">
                  <w:rPr>
                    <w:rFonts w:ascii="Times New Roman" w:eastAsia="Aptos" w:hAnsi="Times New Roman" w:cs="Times New Roman"/>
                    <w:color w:val="000000"/>
                    <w:kern w:val="2"/>
                    <w:sz w:val="24"/>
                    <w:szCs w:val="24"/>
                    <w14:ligatures w14:val="standardContextual"/>
                  </w:rPr>
                  <w:t>smolted</w:t>
                </w:r>
                <w:proofErr w:type="spellEnd"/>
                <w:r w:rsidRPr="0018140A">
                  <w:rPr>
                    <w:rFonts w:ascii="Times New Roman" w:eastAsia="Aptos" w:hAnsi="Times New Roman" w:cs="Times New Roman"/>
                    <w:color w:val="000000"/>
                    <w:kern w:val="2"/>
                    <w:sz w:val="24"/>
                    <w:szCs w:val="24"/>
                    <w14:ligatures w14:val="standardContextual"/>
                  </w:rPr>
                  <w:t xml:space="preserve"> well, as indicated by the elevated Gill NKA levels after the experiment started (Fig. 1), and the high survival 24-h and 4-weeks post seawater transfer (Table 1). Moreover, the overall data trends are highly similar between ST and OT Chinook salmon, indicating that both life history types responded comparably to the diet treatment and seawater transfer. </w:t>
                </w:r>
              </w:p>
              <w:p w14:paraId="36761B3B"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p>
              <w:p w14:paraId="6BFF794D"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p>
              <w:p w14:paraId="42DD7B21"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r w:rsidRPr="0018140A">
                  <w:rPr>
                    <w:rFonts w:ascii="Times New Roman" w:eastAsia="Aptos" w:hAnsi="Times New Roman" w:cs="Times New Roman"/>
                    <w:color w:val="000000"/>
                    <w:kern w:val="2"/>
                    <w:sz w:val="24"/>
                    <w:szCs w:val="24"/>
                    <w14:ligatures w14:val="standardContextual"/>
                  </w:rPr>
                  <w:t xml:space="preserve">Overall, the results of this study showed no apparent advantage of using the transition diet over the control diet in rearing Chinook salmon. First, for each strain of Chinook salmon, fish fed both the transition diet and control diet reached very similar smoltification status in terms of gill NKA activities and exhibited high survival post seawater transition. Secondly, compared to the control diet, the transition diet did not show an advantage on fish growth performance. In fact, for both ST and OT Chinook salmon, the control fish grew significantly faster in freshwater (Figure 2), and this is also in agreement with other studies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{"citationItems":[{"id":"ITEM-1","itemData":{"DOI":"10.1080/15222055.2016.1185064","ISSN":"15488454","abstract":"Transition diets, often supplemented with salt and other additives, have been used to prepare Pacific salmon Oncorhynchus spp. being moved directly from freshwater to saltwater net pens for aquaculture production. However, the use of transition diets to prepare hatchery-reared salmon released into freshwater prior to out-migration to the ocean has shown mixed results. We compared the physiological (size, condition factor, Na+,K+-ATPase [NKA] enzyme activity, survival during a saltwater challenge) and nutritional (proximate composition, fatty acid profile) condition of juvenile Chinook Salmon O. tshawytscha that were fed either a standard hatchery feed or a commercially available transition diet for the final 6 weeks of hatchery rearing to determine whether the transition diet altered smolt condition. At release, NKA activity of fish fed the transition diet was higher than that of fish fed the control diet, though survival during a saltwater challenge was similar between groups. Differences were seen in the proximate composition of the fish, with increased total body moisture and decreased lipid in the fish fed the transition diet relative to fish fed the control diet. Whole-body fatty acid composition of fish was similar to the fatty acid composition of the feeds in both groups, though some key whole-body fatty acids did not follow this trend. Palmitic acid (16:0), linoleic acid (18:2[n-6]), eicosapentaenoic acid (20:5[n-3]), and docosahexaenoic acid (22:6[n-3]) varied between prefeeding trial samples and fish fed the two diets. Further research is required to determine whether the physiological changes that occurred are related to smoltification or the maintenance of osmotic balance while fish are fed additional salt. Received October 13, 2015; accepted April 3, 2016","author":[{"dropping-particle":"","family":"Hanson","given":"Kyle C.","non-dropping-particle":"","parse-names":false,"suffix":""},{"dropping-particle":"","family":"Twibell","given":"Ronald G.","non-dropping-particle":"","parse-names":false,"suffix":""},{"dropping-particle":"","family":"Glenn","given":"Richard A.","non-dropping-particle":"","parse-names":false,"suffix":""},{"dropping-particle":"","family":"Barron","given":"James M.","non-dropping-particle":"","parse-names":false,"suffix":""},{"dropping-particle":"","family":"Gannam","given":"Ann L.","non-dropping-particle":"","parse-names":false,"suffix":""}],"container-title":"North American Journal of Aquaculture","id":"ITEM-1","issue":"4","issued":{"date-parts":[["2016"]]},"page":"307-313","title":"The Effects of a Transition Diet on the Smoltification of Chinook Salmon","type":"article-journal","volume":"78"},"uris":["http://www.mendeley.com/documents/?uuid=fca22819-1109-4cb0-9627-c01ff99c44cc"]},{"id":"ITEM-2","itemData":{"DOI":"10.1016/0044-8486(88)90012-9","ISSN":"00448486","abstract":"The effect of increased dietary salt on growth and nutrition of rainbow trout was investigated using two types of salt-enriched diets: (a) commercial trout food reconstituted to contain 4.5%, 9.2% and 11.6% NaCl, (b) isonitrogenous and isocaloric diets containing similar salt levels, i.e. no nutrient dilution caused by salt addition. Food conversion efficiency of fish fed the isonitrogeous diets was not affected by the added salt, but both conversion efficiency and growth rate were adversely influenced by the salt-supplemented commercial food. The insignificant differences in protein efficiency ratio among fish fed on different levels of salt indicates that reduction in food conversion efficiency is probably the result of protein dilution rather than the added salt. Food intake and appetite were not affected by dietary salt, and feeding to satiation enhanced growth in all feeding treatments, but this feeding regime did not alter the differences in growth rate between normally fed fish and those fed on salty diets. © 1988.","author":[{"dropping-particle":"","family":"Salman","given":"N. A.","non-dropping-particle":"","parse-names":false,"suffix":""},{"dropping-particle":"","family":"Eddy","given":"F. B.","non-dropping-particle":"","parse-names":false,"suffix":""}],"container-title":"Aquaculture","id":"ITEM-2","issue":"1-2","issued":{"date-parts":[["1988"]]},"page":"131-144","title":"Effect of dietary sodium chloride on growth, food intake and conversion efficiency in rainbow trout (Salmo gairdneri Richardson)","type":"article-journal","volume":"70"},"uris":["http://www.mendeley.com/documents/?uuid=c080e2f9-4afc-4b03-8e7a-f7f83995d5ea"]}],"mendeley":{"formattedCitation":"(Salman and Eddy 1988; Hanson et al. 2016)","plainTextFormattedCitation":"(Salman and Eddy 1988; Hanson et al. 2016)","previouslyFormattedCitation":"(Salman and Eddy 1988; Hanson et al. 2016)"},"properties":{"noteIndex":0},"schema":"https://github.com/citation-style-language/schema/raw/master/csl-citation.json"}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(Salman and Eddy 1988; Hanson et al. 2016)</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In the present study, the growth differences observed may be related to the fish appetite for the feed, which was reflected by the amount of food fed to reach visual satiation. Particularly for ST Chinook salmon, the control fish consistently displayed a bigger appetite for feeding, and were thus offered more feed than the treatment fish throughout the study; this </w:t>
                </w:r>
                <w:proofErr w:type="spellStart"/>
                <w:r w:rsidRPr="0018140A">
                  <w:rPr>
                    <w:rFonts w:ascii="Times New Roman" w:eastAsia="Aptos" w:hAnsi="Times New Roman" w:cs="Times New Roman"/>
                    <w:color w:val="000000"/>
                    <w:kern w:val="2"/>
                    <w:sz w:val="24"/>
                    <w:szCs w:val="24"/>
                    <w14:ligatures w14:val="standardContextual"/>
                  </w:rPr>
                  <w:t>behaviour</w:t>
                </w:r>
                <w:proofErr w:type="spellEnd"/>
                <w:r w:rsidRPr="0018140A">
                  <w:rPr>
                    <w:rFonts w:ascii="Times New Roman" w:eastAsia="Aptos" w:hAnsi="Times New Roman" w:cs="Times New Roman"/>
                    <w:color w:val="000000"/>
                    <w:kern w:val="2"/>
                    <w:sz w:val="24"/>
                    <w:szCs w:val="24"/>
                    <w14:ligatures w14:val="standardContextual"/>
                  </w:rPr>
                  <w:t xml:space="preserve"> might thus translate into the observed larger body mass gains in control fish than treatment fish. </w:t>
                </w:r>
              </w:p>
              <w:p w14:paraId="45C97A14"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p>
              <w:p w14:paraId="5D5D29FB"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r w:rsidRPr="0018140A">
                  <w:rPr>
                    <w:rFonts w:ascii="Times New Roman" w:eastAsia="Aptos" w:hAnsi="Times New Roman" w:cs="Times New Roman"/>
                    <w:color w:val="000000"/>
                    <w:kern w:val="2"/>
                    <w:sz w:val="24"/>
                    <w:szCs w:val="24"/>
                    <w14:ligatures w14:val="standardContextual"/>
                  </w:rPr>
                  <w:t xml:space="preserve">Despite high survival, transition to seawater resulted in compromised growth rates for both ST and OT Chinook salmon. While all fish were fed the same control diet in seawater, the SGR of all fish decreased to a similar rate of 1 – 1.08 % after 4 weeks in seawater (Figure 2); indeed, the SGR of control ST Chinook salmon, which was the highest in freshwater (2.11 ± 0.00% per day), had the largest reduction of almost 50%. This slower growth of Chinook salmon post seawater transfer has been reported by other studies as well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{"citationItems":[{"id":"ITEM-1","itemData":{"DOI":"10.1016/0044-8486(81)90137-X","ISSN":"00448486","abstract":"Of the three environmental factors investigated, temperature had the stongest influence on growth of sockeye, coho, and fall chinook fry (starting weights 0.7, 0.7, and 1.2g, respectively). Growth of coho was significantly greater under a changing photoperiod than under a constant 12h photoperiod, whereas the chinook fry showed no consistent growth response to the photoperiod treatments. Hypo-osmoregulatory ability of juvenile coho in sea water was influenced by photoperiod, but none of the photoperiod treatments produced optimum osmoregulatory performance. Salinities up to 20‰ had little effect on growth rate in coho, sockeye, or chinook, but did prevent loss of hypo-osmoregulatory ability in the latter species at 15°C. Transfer to 29‰ during the second half of the 12-week experiment resulted in slower growth of sockeye and chinook smolts. © 1981.","author":[{"dropping-particle":"","family":"Clarke","given":"W. Craig","non-dropping-particle":"","parse-names":false,"suffix":""},{"dropping-particle":"","family":"Shelbourn","given":"John E.","non-dropping-particle":"","parse-names":false,"suffix":""},{"dropping-particle":"","family":"Brett","given":"J. R.","non-dropping-particle":"","parse-names":false,"suffix":""}],"container-title":"Aquaculture","id":"ITEM-1","issue":"C","issued":{"date-parts":[["1981"]]},"page":"105-116","title":"Effect of artificial photoperiod cycles, temperature, and salinity on growth and smolting in underyearling coho (Oncorhynchus kisutch), chinook (O. Tshawytscha), and sockeye (O. nerka) salmon","type":"article-journal","volume":"22"},"uris":["http://www.mendeley.com/documents/?uuid=43bd38d7-ac51-4601-a3ca-9717334b6aa8"]},{"id":"ITEM-2","itemData":{"author":[{"dropping-particle":"","family":"Morgan","given":"D. J","non-dropping-particle":"","parse-names":false,"suffix":""},{"dropping-particle":"","family":"Iwama","given":"K. G","non-dropping-particle":"","parse-names":false,"suffix":""}],"container-title":"Canadian Journal of Fisheries and Aquatic Sciences","id":"ITEM-2","issued":{"date-parts":[["1991"]]},"page":"2083-2094","title":"Effects of Salinity on Growth, Metabolism, and Ion Regulation in Juvenile Rainbow and Steelhead Trout (Oncorhynchus mykiss) and Fall Chinook Salmon (Oncorhynchus tshawytscha)","type":"article-journal","volume":"48"},"uris":["http://www.mendeley.com/documents/?uuid=dc98a634-e6b1-4cce-b15a-0f12ca15dc01"]}],"mendeley":{"formattedCitation":"(Clarke et al. 1981; Morgan and Iwama 1991)","plainTextFormattedCitation":"(Clarke et al. 1981; Morgan and Iwama 1991)"},"properties":{"noteIndex":0},"schema":"https://github.com/citation-style-language/schema/raw/master/csl-citation.json"}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(Clarke et al. 1981; Morgan and Iwama 1991)</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With the increased metabolic rate of Chinook salmon in increased salinity (Morgan and Iwama, 1991), the fish may thus have less net energy for supporting growth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{"citationItems":[{"id":"ITEM-1","itemData":{"DOI":"10.1016/bs.fp.2020.10.001","ISSN":"15465098","abstract":"In commercial fish aquaculture, it is crucial to ensure that environmental rearing conditions are adequate, if not optimal, for fish growth, welfare and profitability. In recirculating aquaculture systems (RAS), where environmental conditions can be tightly controlled, targeting these optima may be important in offsetting high costs. However, truly optimal conditions for growth are rarely defined in the literature. In net-pen aquaculture, site selection permits some control over the most relevant parameters; however, it is clear that changes in environmental conditions, such as sub-optimal temperatures, hypoxia and algal blooms, are increasing in frequency and duration, often unpredictably. Thus, an understanding of how changes in relevant environmental parameters affect growth and physiological performance is vital for the selection of strains that may be more resistant to these and other unpredictable changes. In this chapter we provide a physiological framework based upon the “Fry paradigm” for defining optimal values of temperature, salinity and water velocity for fish growth and performance, and the impact of hypoxia and gill damage. We consider these parameters in isolation, but also in combination as they often co-vary in the culture environment. Furthermore, we promote the use of stress tolerance tests to predict the ability of fish to withstand changes in their environment that may arise due to unforeseen circumstances. Finally, we review the various assays that can be used to quantify physiological performance during changes in these environmental parameters.","author":[{"dropping-particle":"","family":"Brauner","given":"Colin J.","non-dropping-particle":"","parse-names":false,"suffix":""},{"dropping-particle":"","family":"Richards","given":"Jeffrey G.","non-dropping-particle":"","parse-names":false,"suffix":""}],"container-title":"Fish Physiology","id":"ITEM-1","issued":{"date-parts":[["2020"]]},"page":"83-121","publisher":"Elsevier Inc.","title":"Physiological performance in aquaculture: Using physiology to help define optimal conditions for growth and environmental tolerance","type":"article-journal","volume":"38"},"uris":["http://www.mendeley.com/documents/?uuid=5ac0732c-29c3-48f0-b873-963bb1f00aaf"]}],"mendeley":{"formattedCitation":"(Brauner and Richards 2020)","plainTextFormattedCitation":"(Brauner and Richards 2020)","previouslyFormattedCitation":"(Brauner and Richards 2020)"},"properties":{"noteIndex":0},"schema":"https://github.com/citation-style-language/schema/raw/master/csl-citation.json"}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(Brauner and Richards 2020)</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resulting in slower SGR at this stage. While the seawater growth phase was only 4 weeks in the present study, these Chinook salmon might need more time to physiologically adjust for the seawater condition, before compensating for their growth. In a wild setting, elevated metabolic rates and incomplete smoltification processes leading to reduced SGR could contribute to early marine mortality. In this regard, sufficient estuary rearing areas could be pivotal to support smoltification processes, feeding opportunities and protection from predation during this critical transition stage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{"citationItems":[{"id":"ITEM-1","itemData":{"DOI":"10.1139/cjfas-2020-0247","ISSN":"12057533","abstract":"Estuaries represent a transition zone for salmon migrating from fresh water to marine waters, yet their contribution to juvenile growth is poorly quantified. Here, we use genetic stock identification and otolith analyses to quantify estuarine habitat use by Chinook salmon (Oncorhynchus tshawytscha) — the Pacific salmon species considered most reliant on this habitat — in Canada’s most productive salmon river, the Fraser River. Two years of sampling revealed subyearling migrant (ocean-type) Chinook from the Harrison River to be the estuary’s dominant salmon population throughout the emigration period. These Chinook salmon were caught predominantly in the estuary’s brackish marshes but shifted to more saline habitats as they grew. Otolith analyses indicated that these Chinook salmon have wide-ranging entry timing (from February to May) and longer estuarine residency (weeks to months, mean 41.8 days) than estimated by prior studies, but similar daily growth rates (mean 6 SD: 0.57 6 0.13 mm) across entry dates and residency periods, implying sufficient foraging opportunities throughout the emigration period and habitats. Together, these results suggest that estuarine habitat is more important for early marine growth of subyearling migrant Chinook salmon than previously recognized.","author":[{"dropping-particle":"","family":"Chalifour","given":"Lia","non-dropping-particle":"","parse-names":false,"suffix":""},{"dropping-particle":"","family":"Scott","given":"David C.","non-dropping-particle":"","parse-names":false,"suffix":""},{"dropping-particle":"","family":"Macduffee","given":"Misty","non-dropping-particle":"","parse-names":false,"suffix":""},{"dropping-particle":"","family":"Stark","given":"Steven","non-dropping-particle":"","parse-names":false,"suffix":""},{"dropping-particle":"","family":"Dower","given":"John F.","non-dropping-particle":"","parse-names":false,"suffix":""},{"dropping-particle":"","family":"Beacham","given":"Terry D.","non-dropping-particle":"","parse-names":false,"suffix":""},{"dropping-particle":"","family":"Martin","given":"Tara G.","non-dropping-particle":"","parse-names":false,"suffix":""},{"dropping-particle":"","family":"Baum","given":"Julia K.","non-dropping-particle":"","parse-names":false,"suffix":""}],"container-title":"Canadian Journal of Fisheries and Aquatic Sciences","id":"ITEM-1","issue":"5","issued":{"date-parts":[["2021"]]},"page":"539-550","title":"Chinook salmon exhibit long-term rearing and early marine growth in the fraser river, british columbia, a large urban estuary","type":"article-journal","volume":"78"},"uris":["http://www.mendeley.com/documents/?uuid=dd7dc8d9-7c74-4fc4-9034-0f10da1dc04e"]},{"id":"ITEM-2","itemData":{"DOI":"10.3354/meps11933","author":[{"dropping-particle":"","family":"Moore","given":"Jonathan W","non-dropping-particle":"","parse-names":false,"suffix":""},{"dropping-particle":"","family":"Gordon","given":"Jennifer","non-dropping-particle":"","parse-names":false,"suffix":""},{"dropping-particle":"","family":"Carr-harris","given":"Charmaine","non-dropping-particle":"","parse-names":false,"suffix":""},{"dropping-particle":"","family":"Gottesfeld","given":"Allen S","non-dropping-particle":"","parse-names":false,"suffix":""},{"dropping-particle":"","family":"Wilson","given":"Samantha M","non-dropping-particle":"","parse-names":false,"suffix":""},{"dropping-particle":"","family":"Russell","given":"James Harvey","non-dropping-particle":"","parse-names":false,"suffix":""}],"id":"ITEM-2","issued":{"date-parts":[["2016"]]},"page":"201-215","title":"Assessing estuaries as stopover habitats for juvenile Pacific salmon","type":"article-journal","volume":"559"},"uris":["http://www.mendeley.com/documents/?uuid=623369ec-16d6-4d44-8b7a-48d04570d2c8"]},{"id":"ITEM-3","itemData":{"DOI":"10.1080/00028487.2016.1172509","ISSN":"15488659","abstract":"Abstract: Use of the Columbia River estuary by juvenile Pacific salmon Oncorhynchus spp. is garnering more attention as managers look to improve salmon survival through estuary restoration. Studies have shown that juvenile salmon are abundant in shallow-water habitats within the Columbia River estuary, but information on how juveniles exploit specific estuarine habitats is lacking. We used a combination of physical marks and PIT tag technology to record residence time, movement, and growth of juvenile Chinook Salmon O. tshawytscha, particularly subyearlings, within an emergent marsh of the Columbia River estuary during 2005, 2006, and 2008. We documented marsh-scale residency and movement within the marsh complex and channel-scale residency and movement within two small secondary channels. Many juvenile Chinook Salmon remained in the marsh for 2–4 weeks and increased in FL by 10–20 mm, with an average growth rate of 0.53 mm/d. Chinook Salmon entered secondary channels most frequently in late afternoon and occasionally did so against the tide. Our results indicate that subyearling Chinook Salmon take advantage of shallow estuarine habitat in the Columbia River to a greater extent than previously documented. Received January 8, 2016; accepted March 21, 2016 Published online June 21, 2016","author":[{"dropping-particle":"","family":"McNatt","given":"Regan A.","non-dropping-particle":"","parse-names":false,"suffix":""},{"dropping-particle":"","family":"Bottom","given":"Daniel L.","non-dropping-particle":"","parse-names":false,"suffix":""},{"dropping-particle":"","family":"Hinton","given":"Susan A.","non-dropping-particle":"","parse-names":false,"suffix":""}],"container-title":"Transactions of the American Fisheries Society","id":"ITEM-3","issue":"4","issued":{"date-parts":[["2016"]]},"page":"774-785","title":"Residency and Movement of Juvenile Chinook Salmon at Multiple Spatial Scales in a Tidal Marsh of the Columbia River Estuary","type":"article-journal","volume":"145"},"uris":["http://www.mendeley.com/documents/?uuid=c341c3f4-ff77-464e-aa02-bedc93826e49"]}],"mendeley":{"formattedCitation":"(McNatt et al. 2016; Moore et al. 2016; Chalifour et al. 2021)","plainTextFormattedCitation":"(McNatt et al. 2016; Moore et al. 2016; Chalifour et al. 2021)","previouslyFormattedCitation":"(McNatt et al. 2016; Moore et al. 2016; Chalifour et al. 2021)"},"properties":{"noteIndex":0},"schema":"https://github.com/citation-style-language/schema/raw/master/csl-citation.json"}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(McNatt et al. 2016; Moore et al. 2016; Chalifour et al. 2021)</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w:t>
                </w:r>
              </w:p>
              <w:p w14:paraId="5A205E6B"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p>
              <w:p w14:paraId="26D31FB7"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r w:rsidRPr="0018140A">
                  <w:rPr>
                    <w:rFonts w:ascii="Times New Roman" w:eastAsia="Aptos" w:hAnsi="Times New Roman" w:cs="Times New Roman"/>
                    <w:color w:val="000000"/>
                    <w:kern w:val="2"/>
                    <w:sz w:val="24"/>
                    <w:szCs w:val="24"/>
                    <w14:ligatures w14:val="standardContextual"/>
                  </w:rPr>
                  <w:t xml:space="preserve">Interestingly, the smoltification development rates likely differed between the strains. At the start of the present study, the gill NKA levels (unit: </w:t>
                </w:r>
                <w:proofErr w:type="spellStart"/>
                <w:r w:rsidRPr="0018140A">
                  <w:rPr>
                    <w:rFonts w:ascii="Times New Roman" w:eastAsia="Aptos" w:hAnsi="Times New Roman" w:cs="Times New Roman"/>
                    <w:color w:val="000000"/>
                    <w:kern w:val="2"/>
                    <w:sz w:val="24"/>
                    <w:szCs w:val="24"/>
                    <w14:ligatures w14:val="standardContextual"/>
                  </w:rPr>
                  <w:t>μmol</w:t>
                </w:r>
                <w:proofErr w:type="spellEnd"/>
                <w:r w:rsidRPr="0018140A">
                  <w:rPr>
                    <w:rFonts w:ascii="Times New Roman" w:eastAsia="Aptos" w:hAnsi="Times New Roman" w:cs="Times New Roman"/>
                    <w:color w:val="000000"/>
                    <w:kern w:val="2"/>
                    <w:sz w:val="24"/>
                    <w:szCs w:val="24"/>
                    <w14:ligatures w14:val="standardContextual"/>
                  </w:rPr>
                  <w:t xml:space="preserve"> </w:t>
                </w:r>
                <w:proofErr w:type="spellStart"/>
                <w:r w:rsidRPr="0018140A">
                  <w:rPr>
                    <w:rFonts w:ascii="Times New Roman" w:eastAsia="Aptos" w:hAnsi="Times New Roman" w:cs="Times New Roman"/>
                    <w:color w:val="000000"/>
                    <w:kern w:val="2"/>
                    <w:sz w:val="24"/>
                    <w:szCs w:val="24"/>
                    <w14:ligatures w14:val="standardContextual"/>
                  </w:rPr>
                  <w:t>ADP·mg</w:t>
                </w:r>
                <w:proofErr w:type="spellEnd"/>
                <w:r w:rsidRPr="0018140A">
                  <w:rPr>
                    <w:rFonts w:ascii="Times New Roman" w:eastAsia="Aptos" w:hAnsi="Times New Roman" w:cs="Times New Roman"/>
                    <w:color w:val="000000"/>
                    <w:kern w:val="2"/>
                    <w:sz w:val="24"/>
                    <w:szCs w:val="24"/>
                    <w14:ligatures w14:val="standardContextual"/>
                  </w:rPr>
                  <w:t xml:space="preserve"> protein</w:t>
                </w:r>
                <w:r w:rsidRPr="0018140A">
                  <w:rPr>
                    <w:rFonts w:ascii="Times New Roman" w:eastAsia="Aptos" w:hAnsi="Times New Roman" w:cs="Times New Roman"/>
                    <w:color w:val="000000"/>
                    <w:kern w:val="2"/>
                    <w:sz w:val="24"/>
                    <w:szCs w:val="24"/>
                    <w:vertAlign w:val="superscript"/>
                    <w14:ligatures w14:val="standardContextual"/>
                  </w:rPr>
                  <w:t>−1</w:t>
                </w:r>
                <w:r w:rsidRPr="0018140A">
                  <w:rPr>
                    <w:rFonts w:ascii="Times New Roman" w:eastAsia="Aptos" w:hAnsi="Times New Roman" w:cs="Times New Roman"/>
                    <w:color w:val="000000"/>
                    <w:kern w:val="2"/>
                    <w:sz w:val="24"/>
                    <w:szCs w:val="24"/>
                    <w14:ligatures w14:val="standardContextual"/>
                  </w:rPr>
                  <w:t>·h</w:t>
                </w:r>
                <w:r w:rsidRPr="0018140A">
                  <w:rPr>
                    <w:rFonts w:ascii="Times New Roman" w:eastAsia="Aptos" w:hAnsi="Times New Roman" w:cs="Times New Roman"/>
                    <w:color w:val="000000"/>
                    <w:kern w:val="2"/>
                    <w:sz w:val="24"/>
                    <w:szCs w:val="24"/>
                    <w:vertAlign w:val="superscript"/>
                    <w14:ligatures w14:val="standardContextual"/>
                  </w:rPr>
                  <w:t>−1</w:t>
                </w:r>
                <w:r w:rsidRPr="0018140A">
                  <w:rPr>
                    <w:rFonts w:ascii="Times New Roman" w:eastAsia="Aptos" w:hAnsi="Times New Roman" w:cs="Times New Roman"/>
                    <w:color w:val="000000"/>
                    <w:kern w:val="2"/>
                    <w:sz w:val="24"/>
                    <w:szCs w:val="24"/>
                    <w14:ligatures w14:val="standardContextual"/>
                  </w:rPr>
                  <w:t xml:space="preserve">) of ST Chinook salmon (2.02 ± 0.26) are comparable to those reported from Chinook salmon at the </w:t>
                </w:r>
                <w:r w:rsidRPr="0018140A">
                  <w:rPr>
                    <w:rFonts w:ascii="Times New Roman" w:eastAsia="Aptos" w:hAnsi="Times New Roman" w:cs="Times New Roman"/>
                    <w:color w:val="000000"/>
                    <w:kern w:val="2"/>
                    <w:sz w:val="24"/>
                    <w:szCs w:val="24"/>
                    <w14:ligatures w14:val="standardContextual"/>
                  </w:rPr>
                  <w:lastRenderedPageBreak/>
                  <w:t xml:space="preserve">beginning of river migration (mean 1.34 – 1.64;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{"citationItems":[{"id":"ITEM-1","itemData":{"DOI":"10.1006/jfbi.2000.1550","ISSN":"00221112","abstract":"Migration of wild juvenile chinook salmon Oncorhynchus tshawytscha during the first 80 km of their 254 km migration through the Rogue River, Oregon, was significantly slower than that during the last 170 km. Gill Na+, K+-ATPase specific activity did not increase significantly during the first 38 km of migration. Specific activities during the next 43 km did increase significantly. Specific activities continued to increase as the fish moved downstream, reaching a maximum within 44 km from the Pacific Ocean. © 2001 The Fisheries Society of the British Isles.","author":[{"dropping-particle":"","family":"Ewing","given":"R. D.","non-dropping-particle":"","parse-names":false,"suffix":""},{"dropping-particle":"","family":"Ewing","given":"G. S.","non-dropping-particle":"","parse-names":false,"suffix":""},{"dropping-particle":"","family":"Satterthwaite","given":"T. D.","non-dropping-particle":"","parse-names":false,"suffix":""}],"container-title":"Journal of Fish Biology","id":"ITEM-1","issue":"5","issued":{"date-parts":[["2001"]]},"page":"1414-1426","title":"Changes in gill Na+, K+-ATPase specific activity during seaward migration of wild juvenile chinook salmon","type":"article-journal","volume":"58"},"uris":["http://www.mendeley.com/documents/?uuid=59fd64f6-ab05-42c1-8f2c-41cbeed6a8b1"]}],"mendeley":{"formattedCitation":"(Ewing et al. 2001)","manualFormatting":"Ewing et al. 2001)","plainTextFormattedCitation":"(Ewing et al. 2001)","previouslyFormattedCitation":"(Ewing et al. 2001)"},"properties":{"noteIndex":0},"schema":"https://github.com/citation-style-language/schema/raw/master/csl-citation.json"}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Ewing et al. 2001)</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while OT Chinook salmon (3.48 ± 0.22) had already reached a similar level of those caught in estuaries (3.8 ± 0.32; Ewing et al., 2001). This finding suggested that while OT Chinook salmon were held for 4 weeks longer until experiment start, they were also in more advanced smoltification development, which was also supported by fish morphology observation during initial tank stocking. After 4 weeks in seawater, the gill NKA levels of OT Chinook salmon were still higher than ST Chinook salmon (mean value of control and treatment; OT: 5.30 ± 0.24; ST: 3.78 ± 0.24); these levels are comparable to those of Chinook salmon smolt at early stage of seawater transfer at 34 ppt (mean around 4;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{"citationItems":[{"id":"ITEM-1","itemData":{"DOI":"10.1016/S1095-6433(03)00067-9","ISBN":"6403479725","ISSN":"10956433","PMID":"12781825","abstract":"The teleost pseudobranch is a gill-like structure often fused to the anterior of the opercular cavity. Pseudobranch cells are mitochondria rich and have high levels of Na+, K+-ATPase activity. In this study, pseudobranch Na+, K+-ATPase activity in juvenile chinook salmon (Oncorhynchus tshawytscha) was compared to gill Na+, K+-ATPase activity, a known marker of parr-smolt transformation, in three experiments. In two stocks of New Zealand chinook salmon, pseudobranch Na+, K+-ATPase activity was found to significantly increase during development. At these times gill Na+, K+-ATPase activity was also elevated. Pseudobranch Na+, K+-ATPase activity did not increase 10 days after transfer from fresh water to 34 ppt seawater, a treatment that resulted in a twofold increase in gill Na+, K+-ATPase activity. Cortisol (50 μg/g) and ovine growth hormone (5 μg/g) implants had no effect on pseudobranch Na+, K+-ATPase activity in underyearling chinook salmon, while gill Na+, K+-ATPase activity was stimulated by each hormone. In yearling chinook salmon, only cortisol stimulated pseudobranch Na+, K+-ATPase activity 14 days post-implantation. It was concluded that the pseudobranch differs from the gill in terms of the regulation of Na+, K+-ATPase activity and a role during adaptation to seawater is likely to be limited. © 2003 Elsevier Science Inc. All rights reserved.","author":[{"dropping-particle":"","family":"Quinn","given":"Michael C.J.","non-dropping-particle":"","parse-names":false,"suffix":""},{"dropping-particle":"","family":"Veillette","given":"Philip A.","non-dropping-particle":"","parse-names":false,"suffix":""},{"dropping-particle":"","family":"Young","given":"Graham","non-dropping-particle":"","parse-names":false,"suffix":""}],"container-title":"Comparative Biochemistry and Physiology - A Molecular and Integrative Physiology","id":"ITEM-1","issue":"2","issued":{"date-parts":[["2003"]]},"page":"249-262","title":"Pseudobranch and gill Na+, K+-ATPase activity in juvenile chinook salmon, Oncorhynchus tshawytscha: Developmental changes and effects of growth hormone, cortisol and seawater transfer","type":"article-journal","volume":"135"},"uris":["http://www.mendeley.com/documents/?uuid=5167297f-8630-4e22-9346-b6bc89932dcb"]}],"mendeley":{"formattedCitation":"(Quinn et al. 2003)","manualFormatting":"Quinn et al. 2003)","plainTextFormattedCitation":"(Quinn et al. 2003)","previouslyFormattedCitation":"(Quinn et al. 2003)"},"properties":{"noteIndex":0},"schema":"https://github.com/citation-style-language/schema/raw/master/csl-citation.json"}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Quinn et al. 2003)</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but lower than those observed after 10 days in seawater (mean: 6;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{"citationItems":[{"id":"ITEM-1","itemData":{"DOI":"10.1016/S1095-6433(03)00067-9","ISBN":"6403479725","ISSN":"10956433","PMID":"12781825","abstract":"The teleost pseudobranch is a gill-like structure often fused to the anterior of the opercular cavity. Pseudobranch cells are mitochondria rich and have high levels of Na+, K+-ATPase activity. In this study, pseudobranch Na+, K+-ATPase activity in juvenile chinook salmon (Oncorhynchus tshawytscha) was compared to gill Na+, K+-ATPase activity, a known marker of parr-smolt transformation, in three experiments. In two stocks of New Zealand chinook salmon, pseudobranch Na+, K+-ATPase activity was found to significantly increase during development. At these times gill Na+, K+-ATPase activity was also elevated. Pseudobranch Na+, K+-ATPase activity did not increase 10 days after transfer from fresh water to 34 ppt seawater, a treatment that resulted in a twofold increase in gill Na+, K+-ATPase activity. Cortisol (50 μg/g) and ovine growth hormone (5 μg/g) implants had no effect on pseudobranch Na+, K+-ATPase activity in underyearling chinook salmon, while gill Na+, K+-ATPase activity was stimulated by each hormone. In yearling chinook salmon, only cortisol stimulated pseudobranch Na+, K+-ATPase activity 14 days post-implantation. It was concluded that the pseudobranch differs from the gill in terms of the regulation of Na+, K+-ATPase activity and a role during adaptation to seawater is likely to be limited. © 2003 Elsevier Science Inc. All rights reserved.","author":[{"dropping-particle":"","family":"Quinn","given":"Michael C.J.","non-dropping-particle":"","parse-names":false,"suffix":""},{"dropping-particle":"","family":"Veillette","given":"Philip A.","non-dropping-particle":"","parse-names":false,"suffix":""},{"dropping-particle":"","family":"Young","given":"Graham","non-dropping-particle":"","parse-names":false,"suffix":""}],"container-title":"Comparative Biochemistry and Physiology - A Molecular and Integrative Physiology","id":"ITEM-1","issue":"2","issued":{"date-parts":[["2003"]]},"page":"249-262","title":"Pseudobranch and gill Na+, K+-ATPase activity in juvenile chinook salmon, Oncorhynchus tshawytscha: Developmental changes and effects of growth hormone, cortisol and seawater transfer","type":"article-journal","volume":"135"},"uris":["http://www.mendeley.com/documents/?uuid=5167297f-8630-4e22-9346-b6bc89932dcb"]}],"mendeley":{"formattedCitation":"(Quinn et al. 2003)","manualFormatting":"Quinn et al. 2003)","plainTextFormattedCitation":"(Quinn et al. 2003)","previouslyFormattedCitation":"(Quinn et al. 2003)"},"properties":{"noteIndex":0},"schema":"https://github.com/citation-style-language/schema/raw/master/csl-citation.json"}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Quinn et al. 2003)</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In fact,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{"citationItems":[{"id":"ITEM-1","itemData":{"DOI":"10.1242/jeb.198036","ISBN":"0000000226677","author":[{"dropping-particle":"","family":"Houde","given":"Aimee Lee S","non-dropping-particle":"","parse-names":false,"suffix":""},{"dropping-particle":"","family":"Akbarzadeh","given":"Arash","non-dropping-particle":"","parse-names":false,"suffix":""},{"dropping-particle":"","family":"Gu","given":"Oliver P","non-dropping-particle":"","parse-names":false,"suffix":""},{"dropping-particle":"","family":"Li","given":"Shaorong","non-dropping-particle":"","parse-names":false,"suffix":""},{"dropping-particle":"","family":"Patterson","given":"David A","non-dropping-particle":"","parse-names":false,"suffix":""},{"dropping-particle":"","family":"Farrell","given":"Anthony P","non-dropping-particle":"","parse-names":false,"suffix":""},{"dropping-particle":"","family":"Hinch","given":"Scott G","non-dropping-particle":"","parse-names":false,"suffix":""},{"dropping-particle":"","family":"Miller","given":"Kristina M","non-dropping-particle":"","parse-names":false,"suffix":""}],"id":"ITEM-1","issued":{"date-parts":[["2019"]]},"title":"Salmonid gene expression biomarkers indicative of physiological responses to changes in salinity and temperature , but not dissolved oxygen","type":"article-journal"},"uris":["http://www.mendeley.com/documents/?uuid=9b309434-0345-43db-abf4-657b31dfe004"]}],"mendeley":{"formattedCitation":"(Houde et al. 2019)","manualFormatting":"Houde et al. (2019)","plainTextFormattedCitation":"(Houde et al. 2019)","previouslyFormattedCitation":"(Houde et al. 2019)"},"properties":{"noteIndex":0},"schema":"https://github.com/citation-style-language/schema/raw/master/csl-citation.json"}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Houde et al. (2019)</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reported even higher gill NKA levels from Chinook salmon smolt both in freshwater (5.0 ± 2.5) and seawater (9.6 ± 2.8). </w:t>
                </w:r>
              </w:p>
              <w:p w14:paraId="0C747817"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p>
              <w:p w14:paraId="6B2FBE34" w14:textId="77777777" w:rsidR="0018140A" w:rsidRPr="0018140A" w:rsidRDefault="0018140A" w:rsidP="0018140A">
                <w:pPr>
                  <w:rPr>
                    <w:rFonts w:ascii="Times New Roman" w:eastAsia="Aptos" w:hAnsi="Times New Roman" w:cs="Times New Roman"/>
                    <w:color w:val="000000"/>
                    <w:kern w:val="2"/>
                    <w:sz w:val="24"/>
                    <w:szCs w:val="24"/>
                    <w14:ligatures w14:val="standardContextual"/>
                  </w:rPr>
                </w:pPr>
                <w:r w:rsidRPr="0018140A">
                  <w:rPr>
                    <w:rFonts w:ascii="Times New Roman" w:eastAsia="Aptos" w:hAnsi="Times New Roman" w:cs="Times New Roman"/>
                    <w:color w:val="000000"/>
                    <w:kern w:val="2"/>
                    <w:sz w:val="24"/>
                    <w:szCs w:val="24"/>
                    <w14:ligatures w14:val="standardContextual"/>
                  </w:rPr>
                  <w:t xml:space="preserve">It is possible that the positive effects of a transition diet on smoltification were masked by other factors, such as temperature. Increasing temperature has been reported to accelerate smoltification processes, in terms of earlier elevation and higher gill NKA activities in Atlantic salmon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{"citationItems":[{"id":"ITEM-1","itemData":{"author":[{"dropping-particle":"","family":"Solbakken","given":"Viktor A","non-dropping-particle":"","parse-names":false,"suffix":""},{"dropping-particle":"","family":"Hansen","given":"Tom","non-dropping-particle":"","parse-names":false,"suffix":""},{"dropping-particle":"","family":"Stefansson","given":"Siguard D","non-dropping-particle":"","parse-names":false,"suffix":""}],"container-title":"Aquaculture","id":"ITEM-1","issued":{"date-parts":[["1994"]]},"page":"13-27","title":"Effects of photoperiod and temperature on growth and parr-smolt transformation in Atlantic salmon and subsequent performance in seawater","type":"article-journal","volume":"121"},"uris":["http://www.mendeley.com/documents/?uuid=26f5198e-94af-4949-a5b1-46347c9b595c"]},{"id":"ITEM-2","itemData":{"DOI":"10.1242/jeb.205.22.3553","ISSN":"00220949","PMID":"12364408","abstract":"Atlantic salmon (Salmo salar) juveniles were reared under simulated conditions of normal photoperiod (LDN) or short days (LD 9:15) and ambient temperature (AMB: normal temperature increases in April) or an advanced temperature cycle (ADV: temperature increases in February). Under both photoperiod conditions, the timing of increased and peak levels of gill Na+,K+-ATPase activity were not altered by temperature, although the rate of increase was initially greater under ADV. ADV/LD 9:15 resulted in peak gill Na+,K+-ATPase activity that was half of that seen under normal photoperiod and temperature conditions. Plasma growth hormone (GH) levels increased threefold in late March under ADV/LDN, but not under ADV/LD 9:15, indicating that there is a photoperiod-dependent effect of temperature on levels of this hormone. Plasma insulin-like growth factor I (IGF-I) increased in spring in all groups, with increases occurring significantly earlier in the ADV/LDN group. In each photoperiod condition, the advanced temperature cycle resulted in large decreases in plasma thyroxine (T4) levels in March, which subsequently recovered, whereas plasma 3,5,3′-triiodo-L-thyronine (T3) levels were not substantially affected by either photoperiod or temperature. There was no consistent pattern of change in plasma cortisol levels. The results do not provide support for the role of temperature as a zeitgeber, but do indicate that temperature has a role in the timing of smolting by affecting the rate of development and interacting with the photoperiod.","author":[{"dropping-particle":"","family":"McCormick","given":"Stephen D.","non-dropping-particle":"","parse-names":false,"suffix":""},{"dropping-particle":"","family":"Shrimpton","given":"J. Mark","non-dropping-particle":"","parse-names":false,"suffix":""},{"dropping-particle":"","family":"Moriyama","given":"Shunsuke","non-dropping-particle":"","parse-names":false,"suffix":""},{"dropping-particle":"","family":"Björnsson","given":"Björn Thrandur","non-dropping-particle":"","parse-names":false,"suffix":""}],"container-title":"Journal of Experimental Biology","id":"ITEM-2","issue":"22","issued":{"date-parts":[["2002"]]},"page":"3553-3560","title":"Effects of an advanced temperature cycle on smolt development and endocrinology indicate that temperature is not a zeitgeber for smolting in Atlantic salmon","type":"article-journal","volume":"205"},"uris":["http://www.mendeley.com/documents/?uuid=4d8291e6-0588-4e87-8fd7-b629eace637a"]},{"id":"ITEM-3","itemData":{"DOI":"10.1152/ajpregu.2000.278.5.r1352","ISSN":"03636119","PMID":"10801307","abstract":"We have examined the interaction of photoperiod and temperature in regulating the parr-smolt transformation and its endocrine control. Atlantic salmon juveniles were reared at a constant temperature of 10°C or ambient temperature (2°C from January to April followed by seasonal increase) under simulated natural day length. At 10°C, an increase in day length [16 h of light and 8 h of darkness (LD 16:8)] in February accelerated increases in gill Na+K+-ATPase activity, whereas fish at ambient temperature did not respond to increased day length. Increases in gill Na+K+-ATPase activity under both photoperiods occurred later at ambient temperature than at 10°C. Plasma growth hormone (GH), insulin-like growth factor, and thyroxine increased within 7 days of increased day length at 10°C and remained elevated for 5-9 wk; the same photoperiod treatment at 2°C resulted in much smaller increases of shorter duration. Plasma cortisol increased transiently 3 and 5 wk after LD 16:8 at 10°C and ambient temperature, respectively. Plasma thyroxine was consistently higher at ambient temperature than at 10°C. Plasma triiodothyronine was initially higher at 10°C than at ambient temperature, and there was no response to LD 16:8 under either temperature regimen. There was a strong correlation between gill Na+K+-ATPase activity and plasma GH; correlations were weaker with other hormones. The results provide evidence that low temperature limits the physiological response to increased day length and that GH, insulin-like growth factor I, cortisol, and thyroid hormones mediate the environmental control of the parr-smolt transformation.","author":[{"dropping-particle":"","family":"Mccormick","given":"Stephen D.","non-dropping-particle":"","parse-names":false,"suffix":""},{"dropping-particle":"","family":"Moriyama","given":"Shunsuke","non-dropping-particle":"","parse-names":false,"suffix":""}],"container-title":"American Journal of Physiology - Regulatory Integrative and Comparative Physiology","id":"ITEM-3","issue":"5 47-5","issued":{"date-parts":[["2000"]]},"page":"1352-1361","title":"Low temperature limits photoperiod control of smolting in atlantic salmon through endocrine mechanisms","type":"article-journal","volume":"278"},"uris":["http://www.mendeley.com/documents/?uuid=9504aea0-7979-4517-8675-12bc889613dc"]}],"mendeley":{"formattedCitation":"(Solbakken et al. 1994; Mccormick and Moriyama 2000; McCormick et al. 2002)","plainTextFormattedCitation":"(Solbakken et al. 1994; Mccormick and Moriyama 2000; McCormick et al. 2002)","previouslyFormattedCitation":"(Solbakken et al. 1994; Mccormick and Moriyama 2000; McCormick et al. 2002)"},"properties":{"noteIndex":0},"schema":"https://github.com/citation-style-language/schema/raw/master/csl-citation.json"}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(Solbakken et al. 1994; Mccormick and Moriyama 2000; McCormick et al. 2002)</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Chinook salmon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{"citationItems":[{"id":"ITEM-1","itemData":{"DOI":"10.1016/0044-8486(94)90073-6","ISSN":"00448486","abstract":"To accelerate smolt development and downstream migration in yearling spring chinook salmon (Oncorhynchus tshawytscha), treatment groups at Dworshak National Fish Hatchery (Idaho) were exposed to 3-month advanced photoperiod and ambient temperature (4-6°C). In each of 3 years, photoperiod treatment began in late December or January and continued for 13 to 18 weeks until release between 29 March and 5 April into the Clearwater River. Additional groups exposed to either the advanced photoperiod or ambient light were reared at an elevated water temperature (11-12°C) for 10 to 14 days preceding release. Downstream movement and recovery proportions were evaluated using passive-integrated-transponder (PIT) tags. Photoperiod treatment increased gill Na+K+ ATPase levels significantly at the time of release in 2 of the 3 study years and in all 3 years resulted in significantly faster travel times to Lower Granite Dam, 117 km downstream. The combination of photoperiod and increased temperature treatment resulted in the highest gill Na+K+ ATPase levels at release, the fastest downstream movement, and significantly higher recovery proportions downstream. Temperature treatment alone had no effect on gill Na+K+ ATPase level or recovery proportion and resulted in significantly slower travel time to Lower Granite Dam. Treatment groups exhibiting faster travel time to Lower Granite Dam also passed McNary Dam (343 km downstream) sooner, although the differences were not as great. © 1994.","author":[{"dropping-particle":"","family":"Muir","given":"William D.","non-dropping-particle":"","parse-names":false,"suffix":""},{"dropping-particle":"","family":"Zaugg","given":"Waldo S.","non-dropping-particle":"","parse-names":false,"suffix":""},{"dropping-particle":"","family":"Giorgi","given":"Albert E.","non-dropping-particle":"","parse-names":false,"suffix":""},{"dropping-particle":"","family":"McCutcheon","given":"Scott","non-dropping-particle":"","parse-names":false,"suffix":""}],"container-title":"Aquaculture","id":"ITEM-1","issue":"3-4","issued":{"date-parts":[["1994"]]},"page":"387-399","title":"Accelerating smolt development and downstream movement in yearling chinook salmon with advanced photoperiod and increased temperature","type":"article-journal","volume":"123"},"uris":["http://www.mendeley.com/documents/?uuid=aa2bf990-f399-47dc-b6cf-0e6aa7eb7ce5"]}],"mendeley":{"formattedCitation":"(Muir et al. 1994)","plainTextFormattedCitation":"(Muir et al. 1994)","previouslyFormattedCitation":"(Muir et al. 1994)"},"properties":{"noteIndex":0},"schema":"https://github.com/citation-style-language/schema/raw/master/csl-citation.json"}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(Muir et al. 1994)</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xml:space="preserve">, and sockeye salmon </w:t>
                </w:r>
                <w:r w:rsidRPr="0018140A">
                  <w:rPr>
                    <w:rFonts w:ascii="Times New Roman" w:eastAsia="Aptos" w:hAnsi="Times New Roman" w:cs="Times New Roman"/>
                    <w:color w:val="000000"/>
                    <w:kern w:val="2"/>
                    <w:sz w:val="24"/>
                    <w:szCs w:val="24"/>
                    <w14:ligatures w14:val="standardContextual"/>
                  </w:rPr>
                  <w:fldChar w:fldCharType="begin" w:fldLock="1"/>
                </w:r>
                <w:r w:rsidRPr="0018140A">
                  <w:rPr>
                    <w:rFonts w:ascii="Times New Roman" w:eastAsia="Aptos" w:hAnsi="Times New Roman" w:cs="Times New Roman"/>
                    <w:color w:val="000000"/>
                    <w:kern w:val="2"/>
                    <w:sz w:val="24"/>
                    <w:szCs w:val="24"/>
                    <w14:ligatures w14:val="standardContextual"/>
                  </w:rPr>
                  <w:instrText>ADDIN CSL_CITATION {"citationItems":[{"id":"ITEM-1","itemData":{"author":[{"dropping-particle":"","family":"Ban","given":"Masatoshi","non-dropping-particle":"","parse-names":false,"suffix":""}],"container-title":"Bulletin of the National Salmon Resources Centre","id":"ITEM-1","issue":"3","issued":{"date-parts":[["2000"]]},"page":"25-28","title":"Effects of Photoperiod and Water Temperature on Smoltification of Yearling Sockeye Salmon (Oncorhynchus nerka)","type":"article-journal"},"uris":["http://www.mendeley.com/documents/?uuid=ad0999bc-c55c-4619-9657-c6590094451e"]}],"mendeley":{"formattedCitation":"(Ban 2000)","plainTextFormattedCitation":"(Ban 2000)","previouslyFormattedCitation":"(Ban 2000)"},"properties":{"noteIndex":0},"schema":"https://github.com/citation-style-language/schema/raw/master/csl-citation.json"}</w:instrText>
                </w:r>
                <w:r w:rsidRPr="0018140A">
                  <w:rPr>
                    <w:rFonts w:ascii="Times New Roman" w:eastAsia="Aptos" w:hAnsi="Times New Roman" w:cs="Times New Roman"/>
                    <w:color w:val="000000"/>
                    <w:kern w:val="2"/>
                    <w:sz w:val="24"/>
                    <w:szCs w:val="24"/>
                    <w14:ligatures w14:val="standardContextual"/>
                  </w:rPr>
                  <w:fldChar w:fldCharType="separate"/>
                </w:r>
                <w:r w:rsidRPr="0018140A">
                  <w:rPr>
                    <w:rFonts w:ascii="Times New Roman" w:eastAsia="Aptos" w:hAnsi="Times New Roman" w:cs="Times New Roman"/>
                    <w:noProof/>
                    <w:color w:val="000000"/>
                    <w:kern w:val="2"/>
                    <w:sz w:val="24"/>
                    <w:szCs w:val="24"/>
                    <w14:ligatures w14:val="standardContextual"/>
                  </w:rPr>
                  <w:t>(Ban 2000)</w:t>
                </w:r>
                <w:r w:rsidRPr="0018140A">
                  <w:rPr>
                    <w:rFonts w:ascii="Times New Roman" w:eastAsia="Aptos" w:hAnsi="Times New Roman" w:cs="Times New Roman"/>
                    <w:color w:val="000000"/>
                    <w:kern w:val="2"/>
                    <w:sz w:val="24"/>
                    <w:szCs w:val="24"/>
                    <w14:ligatures w14:val="standardContextual"/>
                  </w:rPr>
                  <w:fldChar w:fldCharType="end"/>
                </w:r>
                <w:r w:rsidRPr="0018140A">
                  <w:rPr>
                    <w:rFonts w:ascii="Times New Roman" w:eastAsia="Aptos" w:hAnsi="Times New Roman" w:cs="Times New Roman"/>
                    <w:color w:val="000000"/>
                    <w:kern w:val="2"/>
                    <w:sz w:val="24"/>
                    <w:szCs w:val="24"/>
                    <w14:ligatures w14:val="standardContextual"/>
                  </w:rPr>
                  <w:t>. In the present study, all fish experienced an increase of water temperature during transfer from the hatchery (5.8 ± 0.4</w:t>
                </w:r>
                <w:r w:rsidRPr="0018140A">
                  <w:rPr>
                    <w:rFonts w:ascii="Times New Roman" w:eastAsia="Aptos" w:hAnsi="Times New Roman" w:cs="Times New Roman"/>
                    <w:color w:val="000000"/>
                    <w:kern w:val="2"/>
                    <w:sz w:val="24"/>
                    <w:szCs w:val="24"/>
                    <w:vertAlign w:val="superscript"/>
                    <w14:ligatures w14:val="standardContextual"/>
                  </w:rPr>
                  <w:t>o</w:t>
                </w:r>
                <w:r w:rsidRPr="0018140A">
                  <w:rPr>
                    <w:rFonts w:ascii="Times New Roman" w:eastAsia="Aptos" w:hAnsi="Times New Roman" w:cs="Times New Roman"/>
                    <w:color w:val="000000"/>
                    <w:kern w:val="2"/>
                    <w:sz w:val="24"/>
                    <w:szCs w:val="24"/>
                    <w14:ligatures w14:val="standardContextual"/>
                  </w:rPr>
                  <w:t>C for ST, and 7.4 ± 0.2</w:t>
                </w:r>
                <w:r w:rsidRPr="0018140A">
                  <w:rPr>
                    <w:rFonts w:ascii="Times New Roman" w:eastAsia="Aptos" w:hAnsi="Times New Roman" w:cs="Times New Roman"/>
                    <w:color w:val="000000"/>
                    <w:kern w:val="2"/>
                    <w:sz w:val="24"/>
                    <w:szCs w:val="24"/>
                    <w:vertAlign w:val="superscript"/>
                    <w14:ligatures w14:val="standardContextual"/>
                  </w:rPr>
                  <w:t>o</w:t>
                </w:r>
                <w:r w:rsidRPr="0018140A">
                  <w:rPr>
                    <w:rFonts w:ascii="Times New Roman" w:eastAsia="Aptos" w:hAnsi="Times New Roman" w:cs="Times New Roman"/>
                    <w:color w:val="000000"/>
                    <w:kern w:val="2"/>
                    <w:sz w:val="24"/>
                    <w:szCs w:val="24"/>
                    <w14:ligatures w14:val="standardContextual"/>
                  </w:rPr>
                  <w:t xml:space="preserve">C for OT) to PSEC (10°C). Therefore, it is possible that smoltification development had already been accelerated soon after they were introduced to the holding tanks, before the experiment started. In this case, the effects of the transition diet may have been masked, as both control and treatment fish would show accelerated smoltification development. While the initial higher gill NKA levels of OT Chinook salmon discussed above, seemed to support this hypothesis, more concrete evidence are still needed. To mitigate the potential interference of a water temperature effect, future studies could design similar experiments so that the fish would not experience a significant change in water temperature, such as running the entire study at the hatchery as reported by Hansen et al. (2016). </w:t>
                </w:r>
              </w:p>
              <w:p w14:paraId="2AEFD392" w14:textId="21A0C568" w:rsidR="00093F19" w:rsidRDefault="00093F19" w:rsidP="008F3E29"/>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EndPr/>
          <w:sdtContent>
            <w:tc>
              <w:tcPr>
                <w:tcW w:w="9350" w:type="dxa"/>
              </w:tcPr>
              <w:p w14:paraId="0E497F38" w14:textId="77777777" w:rsidR="0062772F" w:rsidRPr="0062772F" w:rsidRDefault="0062772F" w:rsidP="0062772F">
                <w:pPr>
                  <w:pStyle w:val="NoSpacing"/>
                  <w:rPr>
                    <w:rFonts w:ascii="Times New Roman" w:eastAsia="Aptos" w:hAnsi="Times New Roman" w:cs="Times New Roman"/>
                    <w:color w:val="000000"/>
                    <w:kern w:val="2"/>
                    <w:sz w:val="24"/>
                    <w:szCs w:val="24"/>
                    <w14:ligatures w14:val="standardContextual"/>
                  </w:rPr>
                </w:pPr>
                <w:r w:rsidRPr="0062772F">
                  <w:rPr>
                    <w:rFonts w:ascii="Times New Roman" w:eastAsia="Aptos" w:hAnsi="Times New Roman" w:cs="Times New Roman"/>
                    <w:color w:val="000000"/>
                    <w:kern w:val="2"/>
                    <w:sz w:val="24"/>
                    <w:szCs w:val="24"/>
                    <w14:ligatures w14:val="standardContextual"/>
                  </w:rPr>
                  <w:t>We found no evidence to suggest that using seawater transition diets (Adapt Flex by EWOS Canada Ltd.) will improve early marine survival for hatchery fish. The results of the present study showed that there were no apparent advantages of using this seawater transition diet over the routine control diet on rearing ST and OT Chinook salmon in terms of smoltification, growth and seawater survival. Indeed, all these performance parameters measured in the present studies showed very similar trends between ST and OT Chinook. As such, we do not recommend broadscale use of these transition diets at DFO hatcheries at this time.</w:t>
                </w:r>
              </w:p>
              <w:p w14:paraId="34A238A6" w14:textId="77777777" w:rsidR="0062772F" w:rsidRPr="0062772F" w:rsidRDefault="0062772F" w:rsidP="0062772F">
                <w:pPr>
                  <w:rPr>
                    <w:rFonts w:ascii="Times New Roman" w:eastAsia="Aptos" w:hAnsi="Times New Roman" w:cs="Times New Roman"/>
                    <w:color w:val="000000"/>
                    <w:kern w:val="2"/>
                    <w:sz w:val="24"/>
                    <w:szCs w:val="24"/>
                    <w14:ligatures w14:val="standardContextual"/>
                  </w:rPr>
                </w:pPr>
              </w:p>
              <w:p w14:paraId="4E63FFB6" w14:textId="77777777" w:rsidR="0062772F" w:rsidRPr="0062772F" w:rsidRDefault="0062772F" w:rsidP="0062772F">
                <w:pPr>
                  <w:rPr>
                    <w:rFonts w:ascii="Times New Roman" w:eastAsia="Aptos" w:hAnsi="Times New Roman" w:cs="Times New Roman"/>
                    <w:color w:val="000000"/>
                    <w:kern w:val="2"/>
                    <w:sz w:val="24"/>
                    <w:szCs w:val="24"/>
                    <w14:ligatures w14:val="standardContextual"/>
                  </w:rPr>
                </w:pPr>
                <w:r w:rsidRPr="0062772F">
                  <w:rPr>
                    <w:rFonts w:ascii="Times New Roman" w:eastAsia="Aptos" w:hAnsi="Times New Roman" w:cs="Times New Roman"/>
                    <w:color w:val="000000"/>
                    <w:kern w:val="2"/>
                    <w:sz w:val="24"/>
                    <w:szCs w:val="24"/>
                    <w14:ligatures w14:val="standardContextual"/>
                  </w:rPr>
                  <w:t xml:space="preserve">On the other hand, future studies are encouraged to investigate knowledge gaps revealed here. One recommendation is to conduct a similar study in a hatchery setting, in order to have the most direct insights into how a transition diet may benefit the hatchery production of salmon at DFO. Hatchery and lab conditions vary in several aspects, including water source, fish density, temperature, and rearing environment. In the present study, it was speculated that the inevitable change in water temperature from hatchery to the lab might have accelerated the smoltification development in both control and treatment fish, thus masking the effects of transition diet. Conducting a similar study in a hatchery setting could reveal the effects of the transition diet, while eliminating similar potential interfering factors that may exist in lab environment. Moreover, while the present study focused on growth and gill NKA as traditional development indicators, future studies could further investigate dietary effects on the physiological and </w:t>
                </w:r>
                <w:proofErr w:type="spellStart"/>
                <w:r w:rsidRPr="0062772F">
                  <w:rPr>
                    <w:rFonts w:ascii="Times New Roman" w:eastAsia="Aptos" w:hAnsi="Times New Roman" w:cs="Times New Roman"/>
                    <w:color w:val="000000"/>
                    <w:kern w:val="2"/>
                    <w:sz w:val="24"/>
                    <w:szCs w:val="24"/>
                    <w14:ligatures w14:val="standardContextual"/>
                  </w:rPr>
                  <w:t>behavioural</w:t>
                </w:r>
                <w:proofErr w:type="spellEnd"/>
                <w:r w:rsidRPr="0062772F">
                  <w:rPr>
                    <w:rFonts w:ascii="Times New Roman" w:eastAsia="Aptos" w:hAnsi="Times New Roman" w:cs="Times New Roman"/>
                    <w:color w:val="000000"/>
                    <w:kern w:val="2"/>
                    <w:sz w:val="24"/>
                    <w:szCs w:val="24"/>
                    <w14:ligatures w14:val="standardContextual"/>
                  </w:rPr>
                  <w:t xml:space="preserve"> performance parameters relevant to survival post hatchery-release. For example, swimming or migration performance </w:t>
                </w:r>
                <w:r w:rsidRPr="0062772F">
                  <w:rPr>
                    <w:rFonts w:ascii="Times New Roman" w:eastAsia="Aptos" w:hAnsi="Times New Roman" w:cs="Times New Roman"/>
                    <w:color w:val="000000"/>
                    <w:kern w:val="2"/>
                    <w:sz w:val="24"/>
                    <w:szCs w:val="24"/>
                    <w14:ligatures w14:val="standardContextual"/>
                  </w:rPr>
                  <w:fldChar w:fldCharType="begin" w:fldLock="1"/>
                </w:r>
                <w:r w:rsidRPr="0062772F">
                  <w:rPr>
                    <w:rFonts w:ascii="Times New Roman" w:eastAsia="Aptos" w:hAnsi="Times New Roman" w:cs="Times New Roman"/>
                    <w:color w:val="000000"/>
                    <w:kern w:val="2"/>
                    <w:sz w:val="24"/>
                    <w:szCs w:val="24"/>
                    <w14:ligatures w14:val="standardContextual"/>
                  </w:rPr>
                  <w:instrText>ADDIN CSL_CITATION {"citationItems":[{"id":"ITEM-1","itemData":{"DOI":"10.1016/j.fishres.2009.06.004","ISSN":"01657836","abstract":"Migration success of hatchery-reared and wild sea trout smolts through the lower stretches and the estuary of a Baltic Sea river were studied. During 3 years, wild and hatchery trout smolts were implanted with acoustic transmitters and released 14 km upstream from the river mouth. In order to monitor their out-migration pattern, acoustic receivers were deployed along the migratory route. Data on number of fish detected and date and time of detections were analysed and the migratory performance of wild and hatchery-reared fish was compared. A significantly higher proportion of wild fish (80%) successfully migrated to the coast compared to fish of hatchery origin (27.5%) and migration was faster in wild smolts. Hatchery fish were larger and had a higher condition factor and lipid concentrations, which are proposed as possible reasons for the poorer migratory performance of the hatchery-reared fish. © 2009 Elsevier B.V. All rights reserved.","author":[{"dropping-particle":"","family":"Serrano","given":"Ignacio","non-dropping-particle":"","parse-names":false,"suffix":""},{"dropping-particle":"","family":"Larsson","given":"Stefan","non-dropping-particle":"","parse-names":false,"suffix":""},{"dropping-particle":"","family":"Eriksson","given":"Lars Ove","non-dropping-particle":"","parse-names":false,"suffix":""}],"container-title":"Fisheries Research","id":"ITEM-1","issue":"3","issued":{"date-parts":[["2009"]]},"page":"210-215","title":"Migration performance of wild and hatchery sea trout (Salmo trutta L.) smolts-Implications for compensatory hatchery programs","type":"article-journal","volume":"99"},"uris":["http://www.mendeley.com/documents/?uuid=cc0c8550-3db7-4285-b76f-b55a598a2a92"]},{"id":"ITEM-2","itemData":{"DOI":"10.1111/j.1600-0633.2008.00293.x","ISSN":"09066691","abstract":"The swimming performance of wild and hatchery-reared smolts of two salmonid species was investigated. Wild Atlantic salmon smolts (WS) and brown trout smolts (WT) of equal size were caught in fish traps during migration. Hatchery-reared smolts of both species (HS and HT for salmon and trout respectively) were first generation offspring from wild broodstock. The swimming performance of individual smolts from the four groups (WS, HS, WT, HT) was tested three consecutive times using a swimming flume with water flowing at a start rate of 0.16 m·s-1 and a constant acceleration rate of 0.167 cm·s-2 (10 cm·s-1·min -1). Wild caught smolts of both species performed significantly better than those reared in hatchery conditions. The WS group were observed to maintain an average swimming speed (Uburst) that was 30% faster than the HS group, whereas the wild trout smolts were superior to HT by approximately 25%. Repeated measures revealed species-specific exhaustion patterns. Brown trout smolts maintained consecutive Uburst indicating significant stamina compared with Atlantic salmon smolts that were found to be exhausted by the initial trial. © 2008 The Authors.","author":[{"dropping-particle":"","family":"Pedersen","given":"L. F.","non-dropping-particle":"","parse-names":false,"suffix":""},{"dropping-particle":"","family":"Koed","given":"A.","non-dropping-particle":"","parse-names":false,"suffix":""},{"dropping-particle":"","family":"Malte","given":"H.","non-dropping-particle":"","parse-names":false,"suffix":""}],"container-title":"Ecology of Freshwater Fish","id":"ITEM-2","issue":"3","issued":{"date-parts":[["2008"]]},"page":"425-431","title":"Swimming performance of wild and F1-hatchery-reared Atlantic salmon (Salmo salar) and brown trout (Salmo trutta) smolts","type":"article-journal","volume":"17"},"uris":["http://www.mendeley.com/documents/?uuid=f946ac6d-ccd3-43a8-b0a2-430562c2dd42"]},{"id":"ITEM-3","itemData":{"DOI":"10.1093/conphys/coab014","ISSN":"20511434","abstract":"Long-distance migrations can be energetically demanding and can represent phases of high mortality. Understanding relationships between body condition and migratory performance can help illuminate the challenges and vulnerabilities of migratory species. Juvenile anadromous sockeye salmon (Oncorhynchus nerka) may migrate over 1000 km from their freshwater nursery habitats to estuary and ocean feeding grounds. During the period corresponding to the seaward migration of sockeye salmon, we held smolts in the laboratory to ask the following: (i) Does non-feeding migration duration influence prolonged swim performance and survival? (ii) What are the relationships between individual body condition and swim performance and survival? Wild sockeye salmon were intercepted during their migration and held without food for up to 61 days to represent the non-feeding freshwater migration and the extremes of poor estuary habitat. We conducted 40 sets of prolonged swim trials on 319 fish from 3 treatment groups that represented entrance to the marine environment on (i) an average,(ii) a delayed and (iii) a severely delayed migration schedule. Experimentally controlled freshwater migration duration did not impact swim performance or survival. Swim performance decreased concomitant with condition factor, where smolts with a Fulton's condition factor of &lt;0.69 were less likely (&lt;50% probability) to complete the swim test (90 min swim test, at ~0.50 m/s). Survival of salmon smolts in the laboratory was less likely at energy densities of less than 3.47 MJ/kg. Swim performance decreased much sooner than survival, suggesting that swim performance, and therefore condition factor, may be a good indicator of survival of migratory smolts, as fish with reduced swim performance will likely be predated. These two relationships, one more ecologically relevant and one more clinical, help reveal the limits of long-distance migration for juvenile salmon and can be used to determine population-specific starvation risk associated with various freshwater and marine habitat conditions.","author":[{"dropping-particle":"","family":"Wilson","given":"Samantha M.","non-dropping-particle":"","parse-names":false,"suffix":""},{"dropping-particle":"","family":"Robinson","given":"Kendra A.","non-dropping-particle":"","parse-names":false,"suffix":""},{"dropping-particle":"","family":"Gutzmann","given":"Sarah","non-dropping-particle":"","parse-names":false,"suffix":""},{"dropping-particle":"","family":"Moore","given":"Jonathan W.","non-dropping-particle":"","parse-names":false,"suffix":""},{"dropping-particle":"","family":"Patterson","given":"David A.","non-dropping-particle":"","parse-names":false,"suffix":""}],"container-title":"Conservation Physiology","id":"ITEM-3","issue":"1","issued":{"date-parts":[["2021"]]},"page":"1-18","title":"Limits on performance and survival of juvenile sockeye salmon (Oncorhynchus nerka) during food deprivation: A laboratory-based study","type":"article-journal","volume":"9"},"uris":["http://www.mendeley.com/documents/?uuid=f65c5852-f269-40b5-a0dd-2768598f2f25"]}],"mendeley":{"formattedCitation":"(Pedersen et al. 2008; Serrano et al. 2009; Wilson et al. 2021)","plainTextFormattedCitation":"(Pedersen et al. 2008; Serrano et al. 2009; Wilson et al. 2021)","previouslyFormattedCitation":"(Pedersen et al. 2008; Serrano et al. 2009; Wilson et al. 2021)"},"properties":{"noteIndex":0},"schema":"https://github.com/citation-style-language/schema/raw/master/csl-citation.json"}</w:instrText>
                </w:r>
                <w:r w:rsidRPr="0062772F">
                  <w:rPr>
                    <w:rFonts w:ascii="Times New Roman" w:eastAsia="Aptos" w:hAnsi="Times New Roman" w:cs="Times New Roman"/>
                    <w:color w:val="000000"/>
                    <w:kern w:val="2"/>
                    <w:sz w:val="24"/>
                    <w:szCs w:val="24"/>
                    <w14:ligatures w14:val="standardContextual"/>
                  </w:rPr>
                  <w:fldChar w:fldCharType="separate"/>
                </w:r>
                <w:r w:rsidRPr="0062772F">
                  <w:rPr>
                    <w:rFonts w:ascii="Times New Roman" w:eastAsia="Aptos" w:hAnsi="Times New Roman" w:cs="Times New Roman"/>
                    <w:noProof/>
                    <w:color w:val="000000"/>
                    <w:kern w:val="2"/>
                    <w:sz w:val="24"/>
                    <w:szCs w:val="24"/>
                    <w14:ligatures w14:val="standardContextual"/>
                  </w:rPr>
                  <w:t>(Pedersen et al. 2008; Serrano et al. 2009; Wilson et al. 2021)</w:t>
                </w:r>
                <w:r w:rsidRPr="0062772F">
                  <w:rPr>
                    <w:rFonts w:ascii="Times New Roman" w:eastAsia="Aptos" w:hAnsi="Times New Roman" w:cs="Times New Roman"/>
                    <w:color w:val="000000"/>
                    <w:kern w:val="2"/>
                    <w:sz w:val="24"/>
                    <w:szCs w:val="24"/>
                    <w14:ligatures w14:val="standardContextual"/>
                  </w:rPr>
                  <w:fldChar w:fldCharType="end"/>
                </w:r>
                <w:r w:rsidRPr="0062772F">
                  <w:rPr>
                    <w:rFonts w:ascii="Times New Roman" w:eastAsia="Aptos" w:hAnsi="Times New Roman" w:cs="Times New Roman"/>
                    <w:color w:val="000000"/>
                    <w:kern w:val="2"/>
                    <w:sz w:val="24"/>
                    <w:szCs w:val="24"/>
                    <w14:ligatures w14:val="standardContextual"/>
                  </w:rPr>
                  <w:t xml:space="preserve">, standard and maximum metabolic rates </w:t>
                </w:r>
                <w:r w:rsidRPr="0062772F">
                  <w:rPr>
                    <w:rFonts w:ascii="Times New Roman" w:eastAsia="Aptos" w:hAnsi="Times New Roman" w:cs="Times New Roman"/>
                    <w:color w:val="000000"/>
                    <w:kern w:val="2"/>
                    <w:sz w:val="24"/>
                    <w:szCs w:val="24"/>
                    <w14:ligatures w14:val="standardContextual"/>
                  </w:rPr>
                  <w:fldChar w:fldCharType="begin" w:fldLock="1"/>
                </w:r>
                <w:r w:rsidRPr="0062772F">
                  <w:rPr>
                    <w:rFonts w:ascii="Times New Roman" w:eastAsia="Aptos" w:hAnsi="Times New Roman" w:cs="Times New Roman"/>
                    <w:color w:val="000000"/>
                    <w:kern w:val="2"/>
                    <w:sz w:val="24"/>
                    <w:szCs w:val="24"/>
                    <w14:ligatures w14:val="standardContextual"/>
                  </w:rPr>
                  <w:instrText>ADDIN CSL_CITATION {"citationItems":[{"id":"ITEM-1","itemData":{"DOI":"10.1242/jeb.023671","ISSN":"00220949","PMID":"19915118","abstract":"Animal distributions are shaped by the environment and antecedents. Here I show how the temperature dependence of aerobic scope (the difference between maximum and minimum rates of oxygen uptake) is a useful tool to examine the fundamental temperature niches of salmonids and perhaps other fishes. Although the concept of aerobic scope has been recognized for over half a century, only recently has sufficient evidence accumulated to provide a mechanistic explanation for the optimal temperature of salmonids. Evidence suggests that heart rate is the primary driver in supplying more oxygen to tissues as demand increases exponentially with temperature. By contrast, capacity functions (i.e. cardiac stroke volume, tissue oxygen extraction and haemoglobin concentration) are exploited only secondarily if at all, with increasing temperature, and then perhaps only at a temperature nearing that which is lethal to resting fish. Ultimately, however, heart rate apparently becomes a weak partner for the cardiorespiratory oxygen cascade when temperature increases above the optimum for aerobic scope. Thus, the upper limit for heart rate may emerge as a valuable, but simple predictor of optimal temperature in active animals, opening the possibility of using biotelemetry of heart rate in field situations to explore properly the full interplay of environmental factors on aerobic scope. An example of an ecological application of these physiological discoveries is provided using the upriver migration of adult sockeye salmon, which have a remarkable fidelity to their spawning areas and appear to have an optimum temperature for aerobic scope that corresponds to the river temperatures experienced by their antecedents. Unfortunately, there is evidence that this potential adaptation is incompatible with the rapid increase in river temperature presently experienced by salmon as a result of climate change. By limiting aerobic scope, river temperatures in excess of the optimum for aerobic scope directly impact upriver spawning migration and hence lifetime fecundity. Thus, use of aerobic scope holds promise for scientists who wish to make predictions on how climate change may influence animal distributions.","author":[{"dropping-particle":"","family":"Farrell","given":"A. P.","non-dropping-particle":"","parse-names":false,"suffix":""}],"container-title":"Journal of Experimental Biology","id":"ITEM-1","issue":"23","issued":{"date-parts":[["2009"]]},"page":"3771-3780","title":"Environment, antecedents and climate change: Lessons from the study of temperature physiology and river migration of salmonids","type":"article-journal","volume":"212"},"uris":["http://www.mendeley.com/documents/?uuid=88fce74e-4a13-4da8-9fd4-0dfe12ea2ecb"]},{"id":"ITEM-2","itemData":{"DOI":"10.1098/rsbl.2015.0793","ISSN":"1744957X","PMID":"26556902","abstract":"Links between metabolism and components of fitness such as growth, reproduction and survival can depend on food availability. A high standard metabolic rate (SMR; baseline energy expenditure) or aerobic scope (AS; the difference between an individual's maximum and SMR) is often beneficial when food is abundant or easily accessible but can be less important or even disadvantageous when food levels decline. While the mechanisms underlying these context-dependent associations are not well understood, they suggest that individuals with a higher SMR or AS are better able to take advantage of high food abundance. Here we show that juvenile brown trout (Salmo trutta) with a higher AS were able to consume more food per day relative to individuals with a lower AS. These results help explain why a high aerobic capacity can improve performance measures such as growth rate at high but not low levels of food availability.","author":[{"dropping-particle":"","family":"Auer","given":"Sonya K.","non-dropping-particle":"","parse-names":false,"suffix":""},{"dropping-particle":"","family":"Salin","given":"Karine","non-dropping-particle":"","parse-names":false,"suffix":""},{"dropping-particle":"","family":"Anderson","given":"Graeme J.","non-dropping-particle":"","parse-names":false,"suffix":""},{"dropping-particle":"","family":"Metcalfe","given":"Neil B.","non-dropping-particle":"","parse-names":false,"suffix":""}],"container-title":"Biology Letters","id":"ITEM-2","issue":"11","issued":{"date-parts":[["2015"]]},"page":"10-12","title":"Aerobic scope explains individual variation in feeding capacity","type":"article-journal","volume":"11"},"uris":["http://www.mendeley.com/documents/?uuid=4a8cc53f-2fc0-4827-b9e5-51ba51229756"]}],"mendeley":{"formattedCitation":"(Farrell 2009; Auer et al. 2015)","plainTextFormattedCitation":"(Farrell 2009; Auer et al. 2015)","previouslyFormattedCitation":"(Farrell 2009; Auer et al. 2015)"},"properties":{"noteIndex":0},"schema":"https://github.com/citation-style-language/schema/raw/master/csl-citation.json"}</w:instrText>
                </w:r>
                <w:r w:rsidRPr="0062772F">
                  <w:rPr>
                    <w:rFonts w:ascii="Times New Roman" w:eastAsia="Aptos" w:hAnsi="Times New Roman" w:cs="Times New Roman"/>
                    <w:color w:val="000000"/>
                    <w:kern w:val="2"/>
                    <w:sz w:val="24"/>
                    <w:szCs w:val="24"/>
                    <w14:ligatures w14:val="standardContextual"/>
                  </w:rPr>
                  <w:fldChar w:fldCharType="separate"/>
                </w:r>
                <w:r w:rsidRPr="0062772F">
                  <w:rPr>
                    <w:rFonts w:ascii="Times New Roman" w:eastAsia="Aptos" w:hAnsi="Times New Roman" w:cs="Times New Roman"/>
                    <w:noProof/>
                    <w:color w:val="000000"/>
                    <w:kern w:val="2"/>
                    <w:sz w:val="24"/>
                    <w:szCs w:val="24"/>
                    <w14:ligatures w14:val="standardContextual"/>
                  </w:rPr>
                  <w:t>(Farrell 2009; Auer et al. 2015)</w:t>
                </w:r>
                <w:r w:rsidRPr="0062772F">
                  <w:rPr>
                    <w:rFonts w:ascii="Times New Roman" w:eastAsia="Aptos" w:hAnsi="Times New Roman" w:cs="Times New Roman"/>
                    <w:color w:val="000000"/>
                    <w:kern w:val="2"/>
                    <w:sz w:val="24"/>
                    <w:szCs w:val="24"/>
                    <w14:ligatures w14:val="standardContextual"/>
                  </w:rPr>
                  <w:fldChar w:fldCharType="end"/>
                </w:r>
                <w:r w:rsidRPr="0062772F">
                  <w:rPr>
                    <w:rFonts w:ascii="Times New Roman" w:eastAsia="Aptos" w:hAnsi="Times New Roman" w:cs="Times New Roman"/>
                    <w:color w:val="000000"/>
                    <w:kern w:val="2"/>
                    <w:sz w:val="24"/>
                    <w:szCs w:val="24"/>
                    <w14:ligatures w14:val="standardContextual"/>
                  </w:rPr>
                  <w:t xml:space="preserve"> and predator avoidance </w:t>
                </w:r>
                <w:proofErr w:type="spellStart"/>
                <w:r w:rsidRPr="0062772F">
                  <w:rPr>
                    <w:rFonts w:ascii="Times New Roman" w:eastAsia="Aptos" w:hAnsi="Times New Roman" w:cs="Times New Roman"/>
                    <w:color w:val="000000"/>
                    <w:kern w:val="2"/>
                    <w:sz w:val="24"/>
                    <w:szCs w:val="24"/>
                    <w14:ligatures w14:val="standardContextual"/>
                  </w:rPr>
                  <w:t>behaviours</w:t>
                </w:r>
                <w:proofErr w:type="spellEnd"/>
                <w:r w:rsidRPr="0062772F">
                  <w:rPr>
                    <w:rFonts w:ascii="Times New Roman" w:eastAsia="Aptos" w:hAnsi="Times New Roman" w:cs="Times New Roman"/>
                    <w:color w:val="000000"/>
                    <w:kern w:val="2"/>
                    <w:sz w:val="24"/>
                    <w:szCs w:val="24"/>
                    <w14:ligatures w14:val="standardContextual"/>
                  </w:rPr>
                  <w:t xml:space="preserve"> </w:t>
                </w:r>
                <w:r w:rsidRPr="0062772F">
                  <w:rPr>
                    <w:rFonts w:ascii="Times New Roman" w:eastAsia="Aptos" w:hAnsi="Times New Roman" w:cs="Times New Roman"/>
                    <w:color w:val="000000"/>
                    <w:kern w:val="2"/>
                    <w:sz w:val="24"/>
                    <w:szCs w:val="24"/>
                    <w14:ligatures w14:val="standardContextual"/>
                  </w:rPr>
                  <w:fldChar w:fldCharType="begin" w:fldLock="1"/>
                </w:r>
                <w:r w:rsidRPr="0062772F">
                  <w:rPr>
                    <w:rFonts w:ascii="Times New Roman" w:eastAsia="Aptos" w:hAnsi="Times New Roman" w:cs="Times New Roman"/>
                    <w:color w:val="000000"/>
                    <w:kern w:val="2"/>
                    <w:sz w:val="24"/>
                    <w:szCs w:val="24"/>
                    <w14:ligatures w14:val="standardContextual"/>
                  </w:rPr>
                  <w:instrText>ADDIN CSL_CITATION {"citationItems":[{"id":"ITEM-1","itemData":{"ISSN":"00074977","abstract":"Although great strides have been made in the development of techniques for rearing marine fish, methods for improving survival capabilities following release of these fish into the natural environment have not kept pace. Most responsible for impeding progress has been the lack of adequate knowledge of the complex interactions between a species and the myriad physical and biological factors a hatchery fish faces upon release. Being reared in the psychosensorily deprived environment of a hatchery may lessen the innate capability of fish to carry out the basic survival strategy of all fish: to eat and not be eaten. In this synthesis we focus on some of the key behaviors that play a role in predator avoidance and food acquisition and on how the rearing environment may affect the expression of these behaviors. One of the major causes of mortality in hatchery-reared fish is predation, much of which occurs shortly after release. Available evidence seems to indicate that antipredator behavior in hatchery-reared fish is not fully developed. Possible deficits may also occur in feeding after release, when fish are faced with the shift from hatchery-supplied foods to the capture of live prey. Added to possible hatchery-induced deficits in behavior are the alterations in behavior that may result from the stress of handling and transportation. Behavioral capabilities in hatchery-reared fish can be improved in a number of ways, including exposure to predators or predatory stimuli, alteration of spatial and temporal distribution of food, mitigation of rearing and transport stress, and control of the social environment.","author":[{"dropping-particle":"","family":"Olla","given":"Bori L.","non-dropping-particle":"","parse-names":false,"suffix":""},{"dropping-particle":"","family":"Davis","given":"Michael W.","non-dropping-particle":"","parse-names":false,"suffix":""},{"dropping-particle":"","family":"Ryer","given":"Clifford H.","non-dropping-particle":"","parse-names":false,"suffix":""}],"container-title":"Bulletin of Marine Science","id":"ITEM-1","issue":"2","issued":{"date-parts":[["1998"]]},"page":"531-550","title":"Understanding how the hatchery environment represses or promotes the development of behavioral survival skills","type":"article-journal","volume":"62"},"uris":["http://www.mendeley.com/documents/?uuid=e1040850-c2bb-4cc1-84d8-6d21c80ac089"]},{"id":"ITEM-2","itemData":{"DOI":"10.1139/F2011-129","ISSN":"0706652X","abstract":"Captive rearing may elicit experiential or genetically based changes to salmonid antipredator behaviour, which may reduce survival of hatchery-reared fishes when they are released into the wild. Nevertheless, few studies have compared the behaviour between local wild-caught and local hatchery-reared fish (two generations or less), and none have done so under natural conditions. We conducted a seminatural field study comparing the antipredator behaviour of wild-caught, F1 (offspring of wild-caught adults) with that of F2 (second generation) hatchery-reared young-of-the-year Atlantic salmon (Salmo salar, from the same source population) in response to standardized chemical alarm cues. Wild-caught salmon exhibited the strongest antipredator response to a standardized threat (conspecific alarm cues), while F2 salmon exhibited the weakest response. F1 salmon were intermediate in their behavioural response. The observed differences between wild-caught and F1 salmon suggests that differential experience may play a significant role in predator avoidance behaviours. Furthermore, the observed differences between F1 and F2 salmon suggests that even one full generation of hatchery rearing may be sufficient to select for maladaptive responses to predators under natural conditions. Given the controversy regarding the effectiveness of hatchery programs for conservation use, the results of this study suggest that minimizing hatchery time may reduce the behavioural differences between wild and hatchery-reared fishes.","author":[{"dropping-particle":"","family":"Jackson","given":"Christopher D.","non-dropping-particle":"","parse-names":false,"suffix":""},{"dropping-particle":"","family":"Brown","given":"Grant E.","non-dropping-particle":"","parse-names":false,"suffix":""}],"container-title":"Canadian Journal of Fisheries and Aquatic Sciences","id":"ITEM-2","issue":"12","issued":{"date-parts":[["2011"]]},"page":"2157-2165","title":"Differences in antipredator behaviour between wild and hatchery-reared juvenile Atlantic salmon (Salmo salar) under seminatural conditions","type":"article-journal","volume":"68"},"uris":["http://www.mendeley.com/documents/?uuid=3c840d2c-4daf-4723-a989-a507886d6fb7"]}],"mendeley":{"formattedCitation":"(Olla et al. 1998; Jackson and Brown 2011)","plainTextFormattedCitation":"(Olla et al. 1998; Jackson and Brown 2011)","previouslyFormattedCitation":"(Olla et al. 1998; Jackson and Brown 2011)"},"properties":{"noteIndex":0},"schema":"https://github.com/citation-style-language/schema/raw/master/csl-citation.json"}</w:instrText>
                </w:r>
                <w:r w:rsidRPr="0062772F">
                  <w:rPr>
                    <w:rFonts w:ascii="Times New Roman" w:eastAsia="Aptos" w:hAnsi="Times New Roman" w:cs="Times New Roman"/>
                    <w:color w:val="000000"/>
                    <w:kern w:val="2"/>
                    <w:sz w:val="24"/>
                    <w:szCs w:val="24"/>
                    <w14:ligatures w14:val="standardContextual"/>
                  </w:rPr>
                  <w:fldChar w:fldCharType="separate"/>
                </w:r>
                <w:r w:rsidRPr="0062772F">
                  <w:rPr>
                    <w:rFonts w:ascii="Times New Roman" w:eastAsia="Aptos" w:hAnsi="Times New Roman" w:cs="Times New Roman"/>
                    <w:noProof/>
                    <w:color w:val="000000"/>
                    <w:kern w:val="2"/>
                    <w:sz w:val="24"/>
                    <w:szCs w:val="24"/>
                    <w14:ligatures w14:val="standardContextual"/>
                  </w:rPr>
                  <w:t>(Olla et al. 1998; Jackson and Brown 2011)</w:t>
                </w:r>
                <w:r w:rsidRPr="0062772F">
                  <w:rPr>
                    <w:rFonts w:ascii="Times New Roman" w:eastAsia="Aptos" w:hAnsi="Times New Roman" w:cs="Times New Roman"/>
                    <w:color w:val="000000"/>
                    <w:kern w:val="2"/>
                    <w:sz w:val="24"/>
                    <w:szCs w:val="24"/>
                    <w14:ligatures w14:val="standardContextual"/>
                  </w:rPr>
                  <w:fldChar w:fldCharType="end"/>
                </w:r>
                <w:r w:rsidRPr="0062772F">
                  <w:rPr>
                    <w:rFonts w:ascii="Times New Roman" w:eastAsia="Aptos" w:hAnsi="Times New Roman" w:cs="Times New Roman"/>
                    <w:color w:val="000000"/>
                    <w:kern w:val="2"/>
                    <w:sz w:val="24"/>
                    <w:szCs w:val="24"/>
                    <w14:ligatures w14:val="standardContextual"/>
                  </w:rPr>
                  <w:t xml:space="preserve"> are known to be critical to salmon survival in the early marine environment. Finally, given that the transition diet does not appear to be effective at improving early marine survival, we recommend considering how alternative diets could confer other desirable traits in fish, such as the possibility that high lipid diets could reduce the jacking rate in salmon. </w:t>
                </w:r>
              </w:p>
              <w:p w14:paraId="03A22BD8" w14:textId="6D55C6ED" w:rsidR="00147038" w:rsidRDefault="00147038" w:rsidP="008F3E29"/>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dtPr>
          <w:sdtEndPr/>
          <w:sdtContent>
            <w:tc>
              <w:tcPr>
                <w:tcW w:w="9350" w:type="dxa"/>
              </w:tcPr>
              <w:p w14:paraId="1D0A2700" w14:textId="143D8D52" w:rsidR="00E042EF" w:rsidRDefault="0062772F" w:rsidP="00E042EF">
                <w:pPr>
                  <w:rPr>
                    <w:rFonts w:ascii="Calibri" w:eastAsia="Yu Mincho" w:hAnsi="Calibri" w:cs="Arial"/>
                  </w:rPr>
                </w:pPr>
                <w:r>
                  <w:rPr>
                    <w:rFonts w:ascii="Calibri" w:eastAsia="Yu Mincho" w:hAnsi="Calibri" w:cs="Arial"/>
                  </w:rPr>
                  <w:t>See document attached.</w:t>
                </w: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lastRenderedPageBreak/>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2"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EndPr/>
          <w:sdtContent>
            <w:tc>
              <w:tcPr>
                <w:tcW w:w="9350" w:type="dxa"/>
              </w:tcPr>
              <w:p w14:paraId="487E7160"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color w:val="000000"/>
                    <w:kern w:val="2"/>
                    <w:sz w:val="24"/>
                    <w:szCs w:val="24"/>
                    <w14:ligatures w14:val="standardContextual"/>
                  </w:rPr>
                  <w:fldChar w:fldCharType="begin" w:fldLock="1"/>
                </w:r>
                <w:r w:rsidRPr="00D54FCA">
                  <w:rPr>
                    <w:rFonts w:ascii="Times New Roman" w:eastAsia="Aptos" w:hAnsi="Times New Roman" w:cs="Times New Roman"/>
                    <w:color w:val="000000"/>
                    <w:kern w:val="2"/>
                    <w:sz w:val="24"/>
                    <w:szCs w:val="24"/>
                    <w14:ligatures w14:val="standardContextual"/>
                  </w:rPr>
                  <w:instrText xml:space="preserve">ADDIN Mendeley Bibliography CSL_BIBLIOGRAPHY </w:instrText>
                </w:r>
                <w:r w:rsidRPr="00D54FCA">
                  <w:rPr>
                    <w:rFonts w:ascii="Times New Roman" w:eastAsia="Aptos" w:hAnsi="Times New Roman" w:cs="Times New Roman"/>
                    <w:color w:val="000000"/>
                    <w:kern w:val="2"/>
                    <w:sz w:val="24"/>
                    <w:szCs w:val="24"/>
                    <w14:ligatures w14:val="standardContextual"/>
                  </w:rPr>
                  <w:fldChar w:fldCharType="separate"/>
                </w:r>
                <w:r w:rsidRPr="00D54FCA">
                  <w:rPr>
                    <w:rFonts w:ascii="Times New Roman" w:eastAsia="Aptos" w:hAnsi="Times New Roman" w:cs="Times New Roman"/>
                    <w:noProof/>
                    <w:color w:val="000000"/>
                    <w:sz w:val="24"/>
                    <w:szCs w:val="24"/>
                    <w14:ligatures w14:val="standardContextual"/>
                  </w:rPr>
                  <w:t xml:space="preserve">Auer, S.K., Salin, K., Anderson, G.J., and Metcalfe, N.B. 2015. Aerobic scope explains individual variation in feeding capacity. Biol. Lett. </w:t>
                </w:r>
                <w:r w:rsidRPr="00D54FCA">
                  <w:rPr>
                    <w:rFonts w:ascii="Times New Roman" w:eastAsia="Aptos" w:hAnsi="Times New Roman" w:cs="Times New Roman"/>
                    <w:b/>
                    <w:bCs/>
                    <w:noProof/>
                    <w:color w:val="000000"/>
                    <w:sz w:val="24"/>
                    <w:szCs w:val="24"/>
                    <w14:ligatures w14:val="standardContextual"/>
                  </w:rPr>
                  <w:t>11</w:t>
                </w:r>
                <w:r w:rsidRPr="00D54FCA">
                  <w:rPr>
                    <w:rFonts w:ascii="Times New Roman" w:eastAsia="Aptos" w:hAnsi="Times New Roman" w:cs="Times New Roman"/>
                    <w:noProof/>
                    <w:color w:val="000000"/>
                    <w:sz w:val="24"/>
                    <w:szCs w:val="24"/>
                    <w14:ligatures w14:val="standardContextual"/>
                  </w:rPr>
                  <w:t>(11): 10–12. doi:10.1098/rsbl.2015.0793.</w:t>
                </w:r>
              </w:p>
              <w:p w14:paraId="35D04CF0"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Ban, M. 2000. Effects of Photoperiod and Water Temperature on Smoltification of Yearling Sockeye Salmon (</w:t>
                </w:r>
                <w:r w:rsidRPr="00D54FCA">
                  <w:rPr>
                    <w:rFonts w:ascii="Times New Roman" w:eastAsia="Aptos" w:hAnsi="Times New Roman" w:cs="Times New Roman"/>
                    <w:i/>
                    <w:iCs/>
                    <w:noProof/>
                    <w:color w:val="000000"/>
                    <w:sz w:val="24"/>
                    <w:szCs w:val="24"/>
                    <w14:ligatures w14:val="standardContextual"/>
                  </w:rPr>
                  <w:t>Oncorhynchus nerka</w:t>
                </w:r>
                <w:r w:rsidRPr="00D54FCA">
                  <w:rPr>
                    <w:rFonts w:ascii="Times New Roman" w:eastAsia="Aptos" w:hAnsi="Times New Roman" w:cs="Times New Roman"/>
                    <w:noProof/>
                    <w:color w:val="000000"/>
                    <w:sz w:val="24"/>
                    <w:szCs w:val="24"/>
                    <w14:ligatures w14:val="standardContextual"/>
                  </w:rPr>
                  <w:t>). Bull. Natl. Salmon Resour. Cent. (3): 25–28.</w:t>
                </w:r>
              </w:p>
              <w:p w14:paraId="13245D98"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Beamish, R.J., Sweeting, R.M., Lange, K.L., Noakes, D.J., Preikshot, D., and Neville, C.M. 2010. Early Marine Survival of Coho Salmon in the Strait of Georgia Declines to Very Low Levels. Mar. Coast. Fish. </w:t>
                </w:r>
                <w:r w:rsidRPr="00D54FCA">
                  <w:rPr>
                    <w:rFonts w:ascii="Times New Roman" w:eastAsia="Aptos" w:hAnsi="Times New Roman" w:cs="Times New Roman"/>
                    <w:b/>
                    <w:bCs/>
                    <w:noProof/>
                    <w:color w:val="000000"/>
                    <w:sz w:val="24"/>
                    <w:szCs w:val="24"/>
                    <w14:ligatures w14:val="standardContextual"/>
                  </w:rPr>
                  <w:t>2</w:t>
                </w:r>
                <w:r w:rsidRPr="00D54FCA">
                  <w:rPr>
                    <w:rFonts w:ascii="Times New Roman" w:eastAsia="Aptos" w:hAnsi="Times New Roman" w:cs="Times New Roman"/>
                    <w:noProof/>
                    <w:color w:val="000000"/>
                    <w:sz w:val="24"/>
                    <w:szCs w:val="24"/>
                    <w14:ligatures w14:val="standardContextual"/>
                  </w:rPr>
                  <w:t>(1): 424–439. doi:10.1577/c09-040.1.</w:t>
                </w:r>
              </w:p>
              <w:p w14:paraId="752751DA"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Beamish, R.J., Sweeting, R.M., Neville, C.M., Lange, K.L., Beacham, T.D., and Preikshot, D. 2012. Wild chinook salmon survive better than hatchery salmon in a period of poor production. Environ. Biol. Fishes </w:t>
                </w:r>
                <w:r w:rsidRPr="00D54FCA">
                  <w:rPr>
                    <w:rFonts w:ascii="Times New Roman" w:eastAsia="Aptos" w:hAnsi="Times New Roman" w:cs="Times New Roman"/>
                    <w:b/>
                    <w:bCs/>
                    <w:noProof/>
                    <w:color w:val="000000"/>
                    <w:sz w:val="24"/>
                    <w:szCs w:val="24"/>
                    <w14:ligatures w14:val="standardContextual"/>
                  </w:rPr>
                  <w:t>94</w:t>
                </w:r>
                <w:r w:rsidRPr="00D54FCA">
                  <w:rPr>
                    <w:rFonts w:ascii="Times New Roman" w:eastAsia="Aptos" w:hAnsi="Times New Roman" w:cs="Times New Roman"/>
                    <w:noProof/>
                    <w:color w:val="000000"/>
                    <w:sz w:val="24"/>
                    <w:szCs w:val="24"/>
                    <w14:ligatures w14:val="standardContextual"/>
                  </w:rPr>
                  <w:t>(1): 135–148. doi:10.1007/s10641-011-9783-5.</w:t>
                </w:r>
              </w:p>
              <w:p w14:paraId="007C1CE6"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Brauner, C.J., and Richards, J.G. 2020. Physiological performance in aquaculture: Using physiology to help define optimal conditions for growth and environmental tolerance. Fish Physiol. </w:t>
                </w:r>
                <w:r w:rsidRPr="00D54FCA">
                  <w:rPr>
                    <w:rFonts w:ascii="Times New Roman" w:eastAsia="Aptos" w:hAnsi="Times New Roman" w:cs="Times New Roman"/>
                    <w:b/>
                    <w:bCs/>
                    <w:noProof/>
                    <w:color w:val="000000"/>
                    <w:sz w:val="24"/>
                    <w:szCs w:val="24"/>
                    <w14:ligatures w14:val="standardContextual"/>
                  </w:rPr>
                  <w:t>38</w:t>
                </w:r>
                <w:r w:rsidRPr="00D54FCA">
                  <w:rPr>
                    <w:rFonts w:ascii="Times New Roman" w:eastAsia="Aptos" w:hAnsi="Times New Roman" w:cs="Times New Roman"/>
                    <w:noProof/>
                    <w:color w:val="000000"/>
                    <w:sz w:val="24"/>
                    <w:szCs w:val="24"/>
                    <w14:ligatures w14:val="standardContextual"/>
                  </w:rPr>
                  <w:t>: 83–121. Elsevier Inc. doi:10.1016/bs.fp.2020.10.001.</w:t>
                </w:r>
              </w:p>
              <w:p w14:paraId="346D4B0B"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Chalifour, L., Scott, D.C., Macduffee, M., Stark, S., Dower, J.F., Beacham, T.D., Martin, T.G., and Baum, J.K. 2021. Chinook salmon exhibit long-term rearing and early marine growth in the fraser river, British Columbia, a large urban estuary. Can. J. Fish. Aquat. Sci. </w:t>
                </w:r>
                <w:r w:rsidRPr="00D54FCA">
                  <w:rPr>
                    <w:rFonts w:ascii="Times New Roman" w:eastAsia="Aptos" w:hAnsi="Times New Roman" w:cs="Times New Roman"/>
                    <w:b/>
                    <w:bCs/>
                    <w:noProof/>
                    <w:color w:val="000000"/>
                    <w:sz w:val="24"/>
                    <w:szCs w:val="24"/>
                    <w14:ligatures w14:val="standardContextual"/>
                  </w:rPr>
                  <w:t>78</w:t>
                </w:r>
                <w:r w:rsidRPr="00D54FCA">
                  <w:rPr>
                    <w:rFonts w:ascii="Times New Roman" w:eastAsia="Aptos" w:hAnsi="Times New Roman" w:cs="Times New Roman"/>
                    <w:noProof/>
                    <w:color w:val="000000"/>
                    <w:sz w:val="24"/>
                    <w:szCs w:val="24"/>
                    <w14:ligatures w14:val="standardContextual"/>
                  </w:rPr>
                  <w:t>(5): 539–550. doi:10.1139/cjfas-2020-0247.</w:t>
                </w:r>
              </w:p>
              <w:p w14:paraId="5FE4B445"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Clarke, W.C. 1982. Evaluation of the seawater challenge test as an index of marine survival. Aquaculture </w:t>
                </w:r>
                <w:r w:rsidRPr="00D54FCA">
                  <w:rPr>
                    <w:rFonts w:ascii="Times New Roman" w:eastAsia="Aptos" w:hAnsi="Times New Roman" w:cs="Times New Roman"/>
                    <w:b/>
                    <w:bCs/>
                    <w:noProof/>
                    <w:color w:val="000000"/>
                    <w:sz w:val="24"/>
                    <w:szCs w:val="24"/>
                    <w14:ligatures w14:val="standardContextual"/>
                  </w:rPr>
                  <w:t>28</w:t>
                </w:r>
                <w:r w:rsidRPr="00D54FCA">
                  <w:rPr>
                    <w:rFonts w:ascii="Times New Roman" w:eastAsia="Aptos" w:hAnsi="Times New Roman" w:cs="Times New Roman"/>
                    <w:noProof/>
                    <w:color w:val="000000"/>
                    <w:sz w:val="24"/>
                    <w:szCs w:val="24"/>
                    <w14:ligatures w14:val="standardContextual"/>
                  </w:rPr>
                  <w:t>(1–2): 177–183. doi:10.1016/0044-8486(82)90020-5.</w:t>
                </w:r>
              </w:p>
              <w:p w14:paraId="63E4A726"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Clarke, W.C., Shelbourn, J.E., and Brett, J.R. 1981. Effect of artificial photoperiod cycles, temperature, and salinity on growth and smolting in underyearling coho (</w:t>
                </w:r>
                <w:r w:rsidRPr="00D54FCA">
                  <w:rPr>
                    <w:rFonts w:ascii="Times New Roman" w:eastAsia="Aptos" w:hAnsi="Times New Roman" w:cs="Times New Roman"/>
                    <w:i/>
                    <w:iCs/>
                    <w:noProof/>
                    <w:color w:val="000000"/>
                    <w:sz w:val="24"/>
                    <w:szCs w:val="24"/>
                    <w14:ligatures w14:val="standardContextual"/>
                  </w:rPr>
                  <w:t>Oncorhynchus kisutch</w:t>
                </w:r>
                <w:r w:rsidRPr="00D54FCA">
                  <w:rPr>
                    <w:rFonts w:ascii="Times New Roman" w:eastAsia="Aptos" w:hAnsi="Times New Roman" w:cs="Times New Roman"/>
                    <w:noProof/>
                    <w:color w:val="000000"/>
                    <w:sz w:val="24"/>
                    <w:szCs w:val="24"/>
                    <w14:ligatures w14:val="standardContextual"/>
                  </w:rPr>
                  <w:t>), chinook (</w:t>
                </w:r>
                <w:r w:rsidRPr="00D54FCA">
                  <w:rPr>
                    <w:rFonts w:ascii="Times New Roman" w:eastAsia="Aptos" w:hAnsi="Times New Roman" w:cs="Times New Roman"/>
                    <w:i/>
                    <w:iCs/>
                    <w:noProof/>
                    <w:color w:val="000000"/>
                    <w:sz w:val="24"/>
                    <w:szCs w:val="24"/>
                    <w14:ligatures w14:val="standardContextual"/>
                  </w:rPr>
                  <w:t>O. Tshawytscha</w:t>
                </w:r>
                <w:r w:rsidRPr="00D54FCA">
                  <w:rPr>
                    <w:rFonts w:ascii="Times New Roman" w:eastAsia="Aptos" w:hAnsi="Times New Roman" w:cs="Times New Roman"/>
                    <w:noProof/>
                    <w:color w:val="000000"/>
                    <w:sz w:val="24"/>
                    <w:szCs w:val="24"/>
                    <w14:ligatures w14:val="standardContextual"/>
                  </w:rPr>
                  <w:t>), and sockeye (</w:t>
                </w:r>
                <w:r w:rsidRPr="00D54FCA">
                  <w:rPr>
                    <w:rFonts w:ascii="Times New Roman" w:eastAsia="Aptos" w:hAnsi="Times New Roman" w:cs="Times New Roman"/>
                    <w:i/>
                    <w:iCs/>
                    <w:noProof/>
                    <w:color w:val="000000"/>
                    <w:sz w:val="24"/>
                    <w:szCs w:val="24"/>
                    <w14:ligatures w14:val="standardContextual"/>
                  </w:rPr>
                  <w:t>O. nerka</w:t>
                </w:r>
                <w:r w:rsidRPr="00D54FCA">
                  <w:rPr>
                    <w:rFonts w:ascii="Times New Roman" w:eastAsia="Aptos" w:hAnsi="Times New Roman" w:cs="Times New Roman"/>
                    <w:noProof/>
                    <w:color w:val="000000"/>
                    <w:sz w:val="24"/>
                    <w:szCs w:val="24"/>
                    <w14:ligatures w14:val="standardContextual"/>
                  </w:rPr>
                  <w:t xml:space="preserve">) salmon. Aquaculture </w:t>
                </w:r>
                <w:r w:rsidRPr="00D54FCA">
                  <w:rPr>
                    <w:rFonts w:ascii="Times New Roman" w:eastAsia="Aptos" w:hAnsi="Times New Roman" w:cs="Times New Roman"/>
                    <w:b/>
                    <w:bCs/>
                    <w:noProof/>
                    <w:color w:val="000000"/>
                    <w:sz w:val="24"/>
                    <w:szCs w:val="24"/>
                    <w14:ligatures w14:val="standardContextual"/>
                  </w:rPr>
                  <w:t>22</w:t>
                </w:r>
                <w:r w:rsidRPr="00D54FCA">
                  <w:rPr>
                    <w:rFonts w:ascii="Times New Roman" w:eastAsia="Aptos" w:hAnsi="Times New Roman" w:cs="Times New Roman"/>
                    <w:noProof/>
                    <w:color w:val="000000"/>
                    <w:sz w:val="24"/>
                    <w:szCs w:val="24"/>
                    <w14:ligatures w14:val="standardContextual"/>
                  </w:rPr>
                  <w:t>(C): 105–116. doi:10.1016/0044-8486(81)90137-X.</w:t>
                </w:r>
              </w:p>
              <w:p w14:paraId="55ED4A80"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Clarke, W.C., Shelbourn, J.E., Ogasawara, T., and Hirano, T. 1989. Effect of initial daylength on growth, seawater adaptability and plasma growth hormone levels in underyearling coho, chinook, and chum salmon. Aquaculture </w:t>
                </w:r>
                <w:r w:rsidRPr="00D54FCA">
                  <w:rPr>
                    <w:rFonts w:ascii="Times New Roman" w:eastAsia="Aptos" w:hAnsi="Times New Roman" w:cs="Times New Roman"/>
                    <w:b/>
                    <w:bCs/>
                    <w:noProof/>
                    <w:color w:val="000000"/>
                    <w:sz w:val="24"/>
                    <w:szCs w:val="24"/>
                    <w14:ligatures w14:val="standardContextual"/>
                  </w:rPr>
                  <w:t>82</w:t>
                </w:r>
                <w:r w:rsidRPr="00D54FCA">
                  <w:rPr>
                    <w:rFonts w:ascii="Times New Roman" w:eastAsia="Aptos" w:hAnsi="Times New Roman" w:cs="Times New Roman"/>
                    <w:noProof/>
                    <w:color w:val="000000"/>
                    <w:sz w:val="24"/>
                    <w:szCs w:val="24"/>
                    <w14:ligatures w14:val="standardContextual"/>
                  </w:rPr>
                  <w:t>(1–4): 51–62. doi:10.1016/0044-8486(89)90395-5.</w:t>
                </w:r>
              </w:p>
              <w:p w14:paraId="0B4FE758"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Duston, J., and Saunders, R.L. 1995. Advancing smolting to autumn in age 0+ Atlantic salmon by photoperiod, and long-term performance in sea water. Aquaculture </w:t>
                </w:r>
                <w:r w:rsidRPr="00D54FCA">
                  <w:rPr>
                    <w:rFonts w:ascii="Times New Roman" w:eastAsia="Aptos" w:hAnsi="Times New Roman" w:cs="Times New Roman"/>
                    <w:b/>
                    <w:bCs/>
                    <w:noProof/>
                    <w:color w:val="000000"/>
                    <w:sz w:val="24"/>
                    <w:szCs w:val="24"/>
                    <w14:ligatures w14:val="standardContextual"/>
                  </w:rPr>
                  <w:t>135</w:t>
                </w:r>
                <w:r w:rsidRPr="00D54FCA">
                  <w:rPr>
                    <w:rFonts w:ascii="Times New Roman" w:eastAsia="Aptos" w:hAnsi="Times New Roman" w:cs="Times New Roman"/>
                    <w:noProof/>
                    <w:color w:val="000000"/>
                    <w:sz w:val="24"/>
                    <w:szCs w:val="24"/>
                    <w14:ligatures w14:val="standardContextual"/>
                  </w:rPr>
                  <w:t>(4): 295–309. doi:10.1016/0044-8486(95)01034-3.</w:t>
                </w:r>
              </w:p>
              <w:p w14:paraId="136AE274"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Ewing, R.D., Ewing, G.S., and Satterthwaite, T.D. 2001. Changes in gill Na+, K+-ATPase specific activity during seaward migration of wild juvenile chinook salmon. J. Fish Biol. </w:t>
                </w:r>
                <w:r w:rsidRPr="00D54FCA">
                  <w:rPr>
                    <w:rFonts w:ascii="Times New Roman" w:eastAsia="Aptos" w:hAnsi="Times New Roman" w:cs="Times New Roman"/>
                    <w:b/>
                    <w:bCs/>
                    <w:noProof/>
                    <w:color w:val="000000"/>
                    <w:sz w:val="24"/>
                    <w:szCs w:val="24"/>
                    <w14:ligatures w14:val="standardContextual"/>
                  </w:rPr>
                  <w:t>58</w:t>
                </w:r>
                <w:r w:rsidRPr="00D54FCA">
                  <w:rPr>
                    <w:rFonts w:ascii="Times New Roman" w:eastAsia="Aptos" w:hAnsi="Times New Roman" w:cs="Times New Roman"/>
                    <w:noProof/>
                    <w:color w:val="000000"/>
                    <w:sz w:val="24"/>
                    <w:szCs w:val="24"/>
                    <w14:ligatures w14:val="standardContextual"/>
                  </w:rPr>
                  <w:t>(5): 1414–1426. doi:10.1006/jfbi.2000.1550.</w:t>
                </w:r>
              </w:p>
              <w:p w14:paraId="067E3A8F"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Farrell, A.P. 2009. Environment, antecedents and climate change: Lessons from the study of temperature physiology and river migration of salmonids. J. Exp. Biol. </w:t>
                </w:r>
                <w:r w:rsidRPr="00D54FCA">
                  <w:rPr>
                    <w:rFonts w:ascii="Times New Roman" w:eastAsia="Aptos" w:hAnsi="Times New Roman" w:cs="Times New Roman"/>
                    <w:b/>
                    <w:bCs/>
                    <w:noProof/>
                    <w:color w:val="000000"/>
                    <w:sz w:val="24"/>
                    <w:szCs w:val="24"/>
                    <w14:ligatures w14:val="standardContextual"/>
                  </w:rPr>
                  <w:t>212</w:t>
                </w:r>
                <w:r w:rsidRPr="00D54FCA">
                  <w:rPr>
                    <w:rFonts w:ascii="Times New Roman" w:eastAsia="Aptos" w:hAnsi="Times New Roman" w:cs="Times New Roman"/>
                    <w:noProof/>
                    <w:color w:val="000000"/>
                    <w:sz w:val="24"/>
                    <w:szCs w:val="24"/>
                    <w14:ligatures w14:val="standardContextual"/>
                  </w:rPr>
                  <w:t>(23): 3771–3780. doi:10.1242/jeb.023671.</w:t>
                </w:r>
              </w:p>
              <w:p w14:paraId="33993F31"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Hanson, K.C., Twibell, R.G., Glenn, R.A., Barron, J.M., and Gannam, A.L. 2016. The Effects of a Transition Diet on the Smoltification of Chinook Salmon. N. Am. J. Aquac. </w:t>
                </w:r>
                <w:r w:rsidRPr="00D54FCA">
                  <w:rPr>
                    <w:rFonts w:ascii="Times New Roman" w:eastAsia="Aptos" w:hAnsi="Times New Roman" w:cs="Times New Roman"/>
                    <w:b/>
                    <w:bCs/>
                    <w:noProof/>
                    <w:color w:val="000000"/>
                    <w:sz w:val="24"/>
                    <w:szCs w:val="24"/>
                    <w14:ligatures w14:val="standardContextual"/>
                  </w:rPr>
                  <w:t>78</w:t>
                </w:r>
                <w:r w:rsidRPr="00D54FCA">
                  <w:rPr>
                    <w:rFonts w:ascii="Times New Roman" w:eastAsia="Aptos" w:hAnsi="Times New Roman" w:cs="Times New Roman"/>
                    <w:noProof/>
                    <w:color w:val="000000"/>
                    <w:sz w:val="24"/>
                    <w:szCs w:val="24"/>
                    <w14:ligatures w14:val="standardContextual"/>
                  </w:rPr>
                  <w:t>(4): 307–313. doi:10.1080/15222055.2016.1185064.</w:t>
                </w:r>
              </w:p>
              <w:p w14:paraId="1919F9F8"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Houde, A.L.S., Akbarzadeh, A., Gu, O.P., Li, S., Patterson, D.A., Farrell, A.P., Hinch, S.G., </w:t>
                </w:r>
                <w:r w:rsidRPr="00D54FCA">
                  <w:rPr>
                    <w:rFonts w:ascii="Times New Roman" w:eastAsia="Aptos" w:hAnsi="Times New Roman" w:cs="Times New Roman"/>
                    <w:noProof/>
                    <w:color w:val="000000"/>
                    <w:sz w:val="24"/>
                    <w:szCs w:val="24"/>
                    <w14:ligatures w14:val="standardContextual"/>
                  </w:rPr>
                  <w:lastRenderedPageBreak/>
                  <w:t>and Miller, K.M. 2019. Salmonid gene expression biomarkers indicative of physiological responses to changes in salinity and temperature , but not dissolved oxygen. doi:10.1242/jeb.198036.</w:t>
                </w:r>
              </w:p>
              <w:p w14:paraId="1497574B"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Jackson, C.D., and Brown, G.E. 2011. Differences in antipredator behaviour between wild and hatchery-reared juvenile Atlantic salmon (</w:t>
                </w:r>
                <w:r w:rsidRPr="00D54FCA">
                  <w:rPr>
                    <w:rFonts w:ascii="Times New Roman" w:eastAsia="Aptos" w:hAnsi="Times New Roman" w:cs="Times New Roman"/>
                    <w:i/>
                    <w:iCs/>
                    <w:noProof/>
                    <w:color w:val="000000"/>
                    <w:sz w:val="24"/>
                    <w:szCs w:val="24"/>
                    <w14:ligatures w14:val="standardContextual"/>
                  </w:rPr>
                  <w:t>Salmo salar</w:t>
                </w:r>
                <w:r w:rsidRPr="00D54FCA">
                  <w:rPr>
                    <w:rFonts w:ascii="Times New Roman" w:eastAsia="Aptos" w:hAnsi="Times New Roman" w:cs="Times New Roman"/>
                    <w:noProof/>
                    <w:color w:val="000000"/>
                    <w:sz w:val="24"/>
                    <w:szCs w:val="24"/>
                    <w14:ligatures w14:val="standardContextual"/>
                  </w:rPr>
                  <w:t xml:space="preserve">) under seminatural conditions. Can. J. Fish. Aquat. Sci. </w:t>
                </w:r>
                <w:r w:rsidRPr="00D54FCA">
                  <w:rPr>
                    <w:rFonts w:ascii="Times New Roman" w:eastAsia="Aptos" w:hAnsi="Times New Roman" w:cs="Times New Roman"/>
                    <w:b/>
                    <w:bCs/>
                    <w:noProof/>
                    <w:color w:val="000000"/>
                    <w:sz w:val="24"/>
                    <w:szCs w:val="24"/>
                    <w14:ligatures w14:val="standardContextual"/>
                  </w:rPr>
                  <w:t>68</w:t>
                </w:r>
                <w:r w:rsidRPr="00D54FCA">
                  <w:rPr>
                    <w:rFonts w:ascii="Times New Roman" w:eastAsia="Aptos" w:hAnsi="Times New Roman" w:cs="Times New Roman"/>
                    <w:noProof/>
                    <w:color w:val="000000"/>
                    <w:sz w:val="24"/>
                    <w:szCs w:val="24"/>
                    <w14:ligatures w14:val="standardContextual"/>
                  </w:rPr>
                  <w:t>(12): 2157–2165. doi:10.1139/F2011-129.</w:t>
                </w:r>
              </w:p>
              <w:p w14:paraId="0CFC9491"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McCormick, S.., and Saunders, R.L. 1987. Preparatory physiological adaptations for marine life in salmonids: osmoregulation, growth and metabolism. Am. Fish. Soc. Symp.: 211–229.</w:t>
                </w:r>
              </w:p>
              <w:p w14:paraId="50DC3A9E"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Mccormick, S.D. 1993. Methods for non biopsy and measurement of Na+, K+-ATPase activity. Can. J. Aquat. Sci. </w:t>
                </w:r>
                <w:r w:rsidRPr="00D54FCA">
                  <w:rPr>
                    <w:rFonts w:ascii="Times New Roman" w:eastAsia="Aptos" w:hAnsi="Times New Roman" w:cs="Times New Roman"/>
                    <w:b/>
                    <w:bCs/>
                    <w:noProof/>
                    <w:color w:val="000000"/>
                    <w:sz w:val="24"/>
                    <w:szCs w:val="24"/>
                    <w14:ligatures w14:val="standardContextual"/>
                  </w:rPr>
                  <w:t>50</w:t>
                </w:r>
                <w:r w:rsidRPr="00D54FCA">
                  <w:rPr>
                    <w:rFonts w:ascii="Times New Roman" w:eastAsia="Aptos" w:hAnsi="Times New Roman" w:cs="Times New Roman"/>
                    <w:noProof/>
                    <w:color w:val="000000"/>
                    <w:sz w:val="24"/>
                    <w:szCs w:val="24"/>
                    <w14:ligatures w14:val="standardContextual"/>
                  </w:rPr>
                  <w:t>: 9–11.</w:t>
                </w:r>
              </w:p>
              <w:p w14:paraId="2BC1A53A"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McCormick, S.D. 2012. Smolt Physiology and Endocrinology. </w:t>
                </w:r>
                <w:r w:rsidRPr="00D54FCA">
                  <w:rPr>
                    <w:rFonts w:ascii="Times New Roman" w:eastAsia="Aptos" w:hAnsi="Times New Roman" w:cs="Times New Roman"/>
                    <w:i/>
                    <w:iCs/>
                    <w:noProof/>
                    <w:color w:val="000000"/>
                    <w:sz w:val="24"/>
                    <w:szCs w:val="24"/>
                    <w14:ligatures w14:val="standardContextual"/>
                  </w:rPr>
                  <w:t>In</w:t>
                </w:r>
                <w:r w:rsidRPr="00D54FCA">
                  <w:rPr>
                    <w:rFonts w:ascii="Times New Roman" w:eastAsia="Aptos" w:hAnsi="Times New Roman" w:cs="Times New Roman"/>
                    <w:noProof/>
                    <w:color w:val="000000"/>
                    <w:sz w:val="24"/>
                    <w:szCs w:val="24"/>
                    <w14:ligatures w14:val="standardContextual"/>
                  </w:rPr>
                  <w:t xml:space="preserve"> Fish Physiology. Elsevier Inc. pp. 199–251. doi:10.1016/B978-0-12-396951-4.00005-0.</w:t>
                </w:r>
              </w:p>
              <w:p w14:paraId="3EEC7624"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Mccormick, S.D., and Moriyama, S. 2000. Low temperature limits photoperiod control of smolting in atlantic salmon through endocrine mechanisms. Am. J. Physiol. - Regul. Integr. Comp. Physiol. </w:t>
                </w:r>
                <w:r w:rsidRPr="00D54FCA">
                  <w:rPr>
                    <w:rFonts w:ascii="Times New Roman" w:eastAsia="Aptos" w:hAnsi="Times New Roman" w:cs="Times New Roman"/>
                    <w:b/>
                    <w:bCs/>
                    <w:noProof/>
                    <w:color w:val="000000"/>
                    <w:sz w:val="24"/>
                    <w:szCs w:val="24"/>
                    <w14:ligatures w14:val="standardContextual"/>
                  </w:rPr>
                  <w:t>278</w:t>
                </w:r>
                <w:r w:rsidRPr="00D54FCA">
                  <w:rPr>
                    <w:rFonts w:ascii="Times New Roman" w:eastAsia="Aptos" w:hAnsi="Times New Roman" w:cs="Times New Roman"/>
                    <w:noProof/>
                    <w:color w:val="000000"/>
                    <w:sz w:val="24"/>
                    <w:szCs w:val="24"/>
                    <w14:ligatures w14:val="standardContextual"/>
                  </w:rPr>
                  <w:t>(5 47-5): 1352–1361. doi:10.1152/ajpregu.2000.278.5.r1352.</w:t>
                </w:r>
              </w:p>
              <w:p w14:paraId="107D1547"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McCormick, S.D., Shrimpton, J.M., Moriyama, S., and Björnsson, B.T. 2002. Effects of an advanced temperature cycle on smolt development and endocrinology indicate that temperature is not a zeitgeber for smolting in Atlantic salmon. J. Exp. Biol. </w:t>
                </w:r>
                <w:r w:rsidRPr="00D54FCA">
                  <w:rPr>
                    <w:rFonts w:ascii="Times New Roman" w:eastAsia="Aptos" w:hAnsi="Times New Roman" w:cs="Times New Roman"/>
                    <w:b/>
                    <w:bCs/>
                    <w:noProof/>
                    <w:color w:val="000000"/>
                    <w:sz w:val="24"/>
                    <w:szCs w:val="24"/>
                    <w14:ligatures w14:val="standardContextual"/>
                  </w:rPr>
                  <w:t>205</w:t>
                </w:r>
                <w:r w:rsidRPr="00D54FCA">
                  <w:rPr>
                    <w:rFonts w:ascii="Times New Roman" w:eastAsia="Aptos" w:hAnsi="Times New Roman" w:cs="Times New Roman"/>
                    <w:noProof/>
                    <w:color w:val="000000"/>
                    <w:sz w:val="24"/>
                    <w:szCs w:val="24"/>
                    <w14:ligatures w14:val="standardContextual"/>
                  </w:rPr>
                  <w:t>(22): 3553–3560. doi:10.1242/jeb.205.22.3553.</w:t>
                </w:r>
              </w:p>
              <w:p w14:paraId="29A6023C"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McNatt, R.A., Bottom, D.L., and Hinton, S.A. 2016. Residency and Movement of Juvenile Chinook Salmon at Multiple Spatial Scales in a Tidal Marsh of the Columbia River Estuary. Trans. Am. Fish. Soc. </w:t>
                </w:r>
                <w:r w:rsidRPr="00D54FCA">
                  <w:rPr>
                    <w:rFonts w:ascii="Times New Roman" w:eastAsia="Aptos" w:hAnsi="Times New Roman" w:cs="Times New Roman"/>
                    <w:b/>
                    <w:bCs/>
                    <w:noProof/>
                    <w:color w:val="000000"/>
                    <w:sz w:val="24"/>
                    <w:szCs w:val="24"/>
                    <w14:ligatures w14:val="standardContextual"/>
                  </w:rPr>
                  <w:t>145</w:t>
                </w:r>
                <w:r w:rsidRPr="00D54FCA">
                  <w:rPr>
                    <w:rFonts w:ascii="Times New Roman" w:eastAsia="Aptos" w:hAnsi="Times New Roman" w:cs="Times New Roman"/>
                    <w:noProof/>
                    <w:color w:val="000000"/>
                    <w:sz w:val="24"/>
                    <w:szCs w:val="24"/>
                    <w14:ligatures w14:val="standardContextual"/>
                  </w:rPr>
                  <w:t>(4): 774–785. doi:10.1080/00028487.2016.1172509.</w:t>
                </w:r>
              </w:p>
              <w:p w14:paraId="60B08F89"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Moore, J.W., Gordon, J., Carr-harris, C., Gottesfeld, A.S., Wilson, S.M., and Russell, J.H. 2016. Assessing estuaries as stopover habitats for juvenile Pacific salmon. </w:t>
                </w:r>
                <w:r w:rsidRPr="00D54FCA">
                  <w:rPr>
                    <w:rFonts w:ascii="Times New Roman" w:eastAsia="Aptos" w:hAnsi="Times New Roman" w:cs="Times New Roman"/>
                    <w:b/>
                    <w:bCs/>
                    <w:noProof/>
                    <w:color w:val="000000"/>
                    <w:sz w:val="24"/>
                    <w:szCs w:val="24"/>
                    <w14:ligatures w14:val="standardContextual"/>
                  </w:rPr>
                  <w:t>559</w:t>
                </w:r>
                <w:r w:rsidRPr="00D54FCA">
                  <w:rPr>
                    <w:rFonts w:ascii="Times New Roman" w:eastAsia="Aptos" w:hAnsi="Times New Roman" w:cs="Times New Roman"/>
                    <w:noProof/>
                    <w:color w:val="000000"/>
                    <w:sz w:val="24"/>
                    <w:szCs w:val="24"/>
                    <w14:ligatures w14:val="standardContextual"/>
                  </w:rPr>
                  <w:t>: 201–215. doi:10.3354/meps11933.</w:t>
                </w:r>
              </w:p>
              <w:p w14:paraId="707F6F81"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Morgan, D.J., and Iwama, K.G. 1991. Effects of Salinity on Growth, Metabolism, and Ion Regulation in Juvenile Rainbow and Steelhead Trout (</w:t>
                </w:r>
                <w:r w:rsidRPr="00D54FCA">
                  <w:rPr>
                    <w:rFonts w:ascii="Times New Roman" w:eastAsia="Aptos" w:hAnsi="Times New Roman" w:cs="Times New Roman"/>
                    <w:i/>
                    <w:iCs/>
                    <w:noProof/>
                    <w:color w:val="000000"/>
                    <w:sz w:val="24"/>
                    <w:szCs w:val="24"/>
                    <w14:ligatures w14:val="standardContextual"/>
                  </w:rPr>
                  <w:t>Oncorhynchus mykiss</w:t>
                </w:r>
                <w:r w:rsidRPr="00D54FCA">
                  <w:rPr>
                    <w:rFonts w:ascii="Times New Roman" w:eastAsia="Aptos" w:hAnsi="Times New Roman" w:cs="Times New Roman"/>
                    <w:noProof/>
                    <w:color w:val="000000"/>
                    <w:sz w:val="24"/>
                    <w:szCs w:val="24"/>
                    <w14:ligatures w14:val="standardContextual"/>
                  </w:rPr>
                  <w:t>) and Fall Chinook Salmon (</w:t>
                </w:r>
                <w:r w:rsidRPr="00D54FCA">
                  <w:rPr>
                    <w:rFonts w:ascii="Times New Roman" w:eastAsia="Aptos" w:hAnsi="Times New Roman" w:cs="Times New Roman"/>
                    <w:i/>
                    <w:iCs/>
                    <w:noProof/>
                    <w:color w:val="000000"/>
                    <w:sz w:val="24"/>
                    <w:szCs w:val="24"/>
                    <w14:ligatures w14:val="standardContextual"/>
                  </w:rPr>
                  <w:t>Oncorhynchus tshawytscha</w:t>
                </w:r>
                <w:r w:rsidRPr="00D54FCA">
                  <w:rPr>
                    <w:rFonts w:ascii="Times New Roman" w:eastAsia="Aptos" w:hAnsi="Times New Roman" w:cs="Times New Roman"/>
                    <w:noProof/>
                    <w:color w:val="000000"/>
                    <w:sz w:val="24"/>
                    <w:szCs w:val="24"/>
                    <w14:ligatures w14:val="standardContextual"/>
                  </w:rPr>
                  <w:t xml:space="preserve">). Can. J. Fish. Aquat. Sci. </w:t>
                </w:r>
                <w:r w:rsidRPr="00D54FCA">
                  <w:rPr>
                    <w:rFonts w:ascii="Times New Roman" w:eastAsia="Aptos" w:hAnsi="Times New Roman" w:cs="Times New Roman"/>
                    <w:b/>
                    <w:bCs/>
                    <w:noProof/>
                    <w:color w:val="000000"/>
                    <w:sz w:val="24"/>
                    <w:szCs w:val="24"/>
                    <w14:ligatures w14:val="standardContextual"/>
                  </w:rPr>
                  <w:t>48</w:t>
                </w:r>
                <w:r w:rsidRPr="00D54FCA">
                  <w:rPr>
                    <w:rFonts w:ascii="Times New Roman" w:eastAsia="Aptos" w:hAnsi="Times New Roman" w:cs="Times New Roman"/>
                    <w:noProof/>
                    <w:color w:val="000000"/>
                    <w:sz w:val="24"/>
                    <w:szCs w:val="24"/>
                    <w14:ligatures w14:val="standardContextual"/>
                  </w:rPr>
                  <w:t>: 2083–2094.</w:t>
                </w:r>
              </w:p>
              <w:p w14:paraId="63E5A7EA"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Muir, W.D., Zaugg, W.S., Giorgi, A.E., and McCutcheon, S. 1994. Accelerating smolt development and downstream movement in yearling chinook salmon with advanced photoperiod and increased temperature. Aquaculture </w:t>
                </w:r>
                <w:r w:rsidRPr="00D54FCA">
                  <w:rPr>
                    <w:rFonts w:ascii="Times New Roman" w:eastAsia="Aptos" w:hAnsi="Times New Roman" w:cs="Times New Roman"/>
                    <w:b/>
                    <w:bCs/>
                    <w:noProof/>
                    <w:color w:val="000000"/>
                    <w:sz w:val="24"/>
                    <w:szCs w:val="24"/>
                    <w14:ligatures w14:val="standardContextual"/>
                  </w:rPr>
                  <w:t>123</w:t>
                </w:r>
                <w:r w:rsidRPr="00D54FCA">
                  <w:rPr>
                    <w:rFonts w:ascii="Times New Roman" w:eastAsia="Aptos" w:hAnsi="Times New Roman" w:cs="Times New Roman"/>
                    <w:noProof/>
                    <w:color w:val="000000"/>
                    <w:sz w:val="24"/>
                    <w:szCs w:val="24"/>
                    <w14:ligatures w14:val="standardContextual"/>
                  </w:rPr>
                  <w:t>(3–4): 387–399. doi:10.1016/0044-8486(94)90073-6.</w:t>
                </w:r>
              </w:p>
              <w:p w14:paraId="7C67A62E"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Olla, B.L., Davis, M.W., and Ryer, C.H. 1998. Understanding how the hatchery environment represses or promotes the development of behavioral survival skills. Bull. Mar. Sci. </w:t>
                </w:r>
                <w:r w:rsidRPr="00D54FCA">
                  <w:rPr>
                    <w:rFonts w:ascii="Times New Roman" w:eastAsia="Aptos" w:hAnsi="Times New Roman" w:cs="Times New Roman"/>
                    <w:b/>
                    <w:bCs/>
                    <w:noProof/>
                    <w:color w:val="000000"/>
                    <w:sz w:val="24"/>
                    <w:szCs w:val="24"/>
                    <w14:ligatures w14:val="standardContextual"/>
                  </w:rPr>
                  <w:t>62</w:t>
                </w:r>
                <w:r w:rsidRPr="00D54FCA">
                  <w:rPr>
                    <w:rFonts w:ascii="Times New Roman" w:eastAsia="Aptos" w:hAnsi="Times New Roman" w:cs="Times New Roman"/>
                    <w:noProof/>
                    <w:color w:val="000000"/>
                    <w:sz w:val="24"/>
                    <w:szCs w:val="24"/>
                    <w14:ligatures w14:val="standardContextual"/>
                  </w:rPr>
                  <w:t>(2): 531–550.</w:t>
                </w:r>
              </w:p>
              <w:p w14:paraId="2F5F1B50"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Pedersen, L.F., Koed, A., and Malte, H. 2008. Swimming performance of wild and F1-hatchery-reared Atlantic salmon (</w:t>
                </w:r>
                <w:r w:rsidRPr="00D54FCA">
                  <w:rPr>
                    <w:rFonts w:ascii="Times New Roman" w:eastAsia="Aptos" w:hAnsi="Times New Roman" w:cs="Times New Roman"/>
                    <w:i/>
                    <w:iCs/>
                    <w:noProof/>
                    <w:color w:val="000000"/>
                    <w:sz w:val="24"/>
                    <w:szCs w:val="24"/>
                    <w14:ligatures w14:val="standardContextual"/>
                  </w:rPr>
                  <w:t>Salmo salar</w:t>
                </w:r>
                <w:r w:rsidRPr="00D54FCA">
                  <w:rPr>
                    <w:rFonts w:ascii="Times New Roman" w:eastAsia="Aptos" w:hAnsi="Times New Roman" w:cs="Times New Roman"/>
                    <w:noProof/>
                    <w:color w:val="000000"/>
                    <w:sz w:val="24"/>
                    <w:szCs w:val="24"/>
                    <w14:ligatures w14:val="standardContextual"/>
                  </w:rPr>
                  <w:t>) and brown trout (</w:t>
                </w:r>
                <w:r w:rsidRPr="00D54FCA">
                  <w:rPr>
                    <w:rFonts w:ascii="Times New Roman" w:eastAsia="Aptos" w:hAnsi="Times New Roman" w:cs="Times New Roman"/>
                    <w:i/>
                    <w:iCs/>
                    <w:noProof/>
                    <w:color w:val="000000"/>
                    <w:sz w:val="24"/>
                    <w:szCs w:val="24"/>
                    <w14:ligatures w14:val="standardContextual"/>
                  </w:rPr>
                  <w:t>Salmo trutta</w:t>
                </w:r>
                <w:r w:rsidRPr="00D54FCA">
                  <w:rPr>
                    <w:rFonts w:ascii="Times New Roman" w:eastAsia="Aptos" w:hAnsi="Times New Roman" w:cs="Times New Roman"/>
                    <w:noProof/>
                    <w:color w:val="000000"/>
                    <w:sz w:val="24"/>
                    <w:szCs w:val="24"/>
                    <w14:ligatures w14:val="standardContextual"/>
                  </w:rPr>
                  <w:t xml:space="preserve">) smolts. Ecol. Freshw. Fish </w:t>
                </w:r>
                <w:r w:rsidRPr="00D54FCA">
                  <w:rPr>
                    <w:rFonts w:ascii="Times New Roman" w:eastAsia="Aptos" w:hAnsi="Times New Roman" w:cs="Times New Roman"/>
                    <w:b/>
                    <w:bCs/>
                    <w:noProof/>
                    <w:color w:val="000000"/>
                    <w:sz w:val="24"/>
                    <w:szCs w:val="24"/>
                    <w14:ligatures w14:val="standardContextual"/>
                  </w:rPr>
                  <w:t>17</w:t>
                </w:r>
                <w:r w:rsidRPr="00D54FCA">
                  <w:rPr>
                    <w:rFonts w:ascii="Times New Roman" w:eastAsia="Aptos" w:hAnsi="Times New Roman" w:cs="Times New Roman"/>
                    <w:noProof/>
                    <w:color w:val="000000"/>
                    <w:sz w:val="24"/>
                    <w:szCs w:val="24"/>
                    <w14:ligatures w14:val="standardContextual"/>
                  </w:rPr>
                  <w:t>(3): 425–431. doi:10.1111/j.1600-0633.2008.00293.x.</w:t>
                </w:r>
              </w:p>
              <w:p w14:paraId="6EA7956A"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Quinn, M.C.J., Veillette, P.A., and Young, G. 2003. Pseudobranch and gill Na+, K+-ATPase activity in juvenile chinook salmon, </w:t>
                </w:r>
                <w:r w:rsidRPr="00D54FCA">
                  <w:rPr>
                    <w:rFonts w:ascii="Times New Roman" w:eastAsia="Aptos" w:hAnsi="Times New Roman" w:cs="Times New Roman"/>
                    <w:i/>
                    <w:iCs/>
                    <w:noProof/>
                    <w:color w:val="000000"/>
                    <w:sz w:val="24"/>
                    <w:szCs w:val="24"/>
                    <w14:ligatures w14:val="standardContextual"/>
                  </w:rPr>
                  <w:t>Oncorhynchus tshawytscha</w:t>
                </w:r>
                <w:r w:rsidRPr="00D54FCA">
                  <w:rPr>
                    <w:rFonts w:ascii="Times New Roman" w:eastAsia="Aptos" w:hAnsi="Times New Roman" w:cs="Times New Roman"/>
                    <w:noProof/>
                    <w:color w:val="000000"/>
                    <w:sz w:val="24"/>
                    <w:szCs w:val="24"/>
                    <w14:ligatures w14:val="standardContextual"/>
                  </w:rPr>
                  <w:t xml:space="preserve">: Developmental changes and effects of growth hormone, cortisol and seawater transfer. Comp. Biochem. Physiol. - A Mol. Integr. Physiol. </w:t>
                </w:r>
                <w:r w:rsidRPr="00D54FCA">
                  <w:rPr>
                    <w:rFonts w:ascii="Times New Roman" w:eastAsia="Aptos" w:hAnsi="Times New Roman" w:cs="Times New Roman"/>
                    <w:b/>
                    <w:bCs/>
                    <w:noProof/>
                    <w:color w:val="000000"/>
                    <w:sz w:val="24"/>
                    <w:szCs w:val="24"/>
                    <w14:ligatures w14:val="standardContextual"/>
                  </w:rPr>
                  <w:t>135</w:t>
                </w:r>
                <w:r w:rsidRPr="00D54FCA">
                  <w:rPr>
                    <w:rFonts w:ascii="Times New Roman" w:eastAsia="Aptos" w:hAnsi="Times New Roman" w:cs="Times New Roman"/>
                    <w:noProof/>
                    <w:color w:val="000000"/>
                    <w:sz w:val="24"/>
                    <w:szCs w:val="24"/>
                    <w14:ligatures w14:val="standardContextual"/>
                  </w:rPr>
                  <w:t>(2): 249–262. doi:10.1016/S1095-6433(03)00067-9.</w:t>
                </w:r>
              </w:p>
              <w:p w14:paraId="2E1BFD0B"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Salman, N.A., and Eddy, F.B. 1988. Effect of dietary sodium chloride on growth, food intake and conversion efficiency in rainbow trout (</w:t>
                </w:r>
                <w:r w:rsidRPr="00D54FCA">
                  <w:rPr>
                    <w:rFonts w:ascii="Times New Roman" w:eastAsia="Aptos" w:hAnsi="Times New Roman" w:cs="Times New Roman"/>
                    <w:i/>
                    <w:iCs/>
                    <w:noProof/>
                    <w:color w:val="000000"/>
                    <w:sz w:val="24"/>
                    <w:szCs w:val="24"/>
                    <w14:ligatures w14:val="standardContextual"/>
                  </w:rPr>
                  <w:t xml:space="preserve">Salmo gairdneri </w:t>
                </w:r>
                <w:r w:rsidRPr="00D54FCA">
                  <w:rPr>
                    <w:rFonts w:ascii="Times New Roman" w:eastAsia="Aptos" w:hAnsi="Times New Roman" w:cs="Times New Roman"/>
                    <w:noProof/>
                    <w:color w:val="000000"/>
                    <w:sz w:val="24"/>
                    <w:szCs w:val="24"/>
                    <w14:ligatures w14:val="standardContextual"/>
                  </w:rPr>
                  <w:t xml:space="preserve">Richardson). Aquaculture </w:t>
                </w:r>
                <w:r w:rsidRPr="00D54FCA">
                  <w:rPr>
                    <w:rFonts w:ascii="Times New Roman" w:eastAsia="Aptos" w:hAnsi="Times New Roman" w:cs="Times New Roman"/>
                    <w:b/>
                    <w:bCs/>
                    <w:noProof/>
                    <w:color w:val="000000"/>
                    <w:sz w:val="24"/>
                    <w:szCs w:val="24"/>
                    <w14:ligatures w14:val="standardContextual"/>
                  </w:rPr>
                  <w:t>70</w:t>
                </w:r>
                <w:r w:rsidRPr="00D54FCA">
                  <w:rPr>
                    <w:rFonts w:ascii="Times New Roman" w:eastAsia="Aptos" w:hAnsi="Times New Roman" w:cs="Times New Roman"/>
                    <w:noProof/>
                    <w:color w:val="000000"/>
                    <w:sz w:val="24"/>
                    <w:szCs w:val="24"/>
                    <w14:ligatures w14:val="standardContextual"/>
                  </w:rPr>
                  <w:t>(1–2): 131–144. doi:10.1016/0044-8486(88)90012-9.</w:t>
                </w:r>
              </w:p>
              <w:p w14:paraId="02C75A74"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lastRenderedPageBreak/>
                  <w:t>Serrano, I., Larsson, S., and Eriksson, L.O. 2009. Migration performance of wild and hatchery sea trout (</w:t>
                </w:r>
                <w:r w:rsidRPr="00D54FCA">
                  <w:rPr>
                    <w:rFonts w:ascii="Times New Roman" w:eastAsia="Aptos" w:hAnsi="Times New Roman" w:cs="Times New Roman"/>
                    <w:i/>
                    <w:iCs/>
                    <w:noProof/>
                    <w:color w:val="000000"/>
                    <w:sz w:val="24"/>
                    <w:szCs w:val="24"/>
                    <w14:ligatures w14:val="standardContextual"/>
                  </w:rPr>
                  <w:t>Salmo trutta</w:t>
                </w:r>
                <w:r w:rsidRPr="00D54FCA">
                  <w:rPr>
                    <w:rFonts w:ascii="Times New Roman" w:eastAsia="Aptos" w:hAnsi="Times New Roman" w:cs="Times New Roman"/>
                    <w:noProof/>
                    <w:color w:val="000000"/>
                    <w:sz w:val="24"/>
                    <w:szCs w:val="24"/>
                    <w14:ligatures w14:val="standardContextual"/>
                  </w:rPr>
                  <w:t xml:space="preserve"> L.) smolts-Implications for compensatory hatchery programs. Fish. Res. </w:t>
                </w:r>
                <w:r w:rsidRPr="00D54FCA">
                  <w:rPr>
                    <w:rFonts w:ascii="Times New Roman" w:eastAsia="Aptos" w:hAnsi="Times New Roman" w:cs="Times New Roman"/>
                    <w:b/>
                    <w:bCs/>
                    <w:noProof/>
                    <w:color w:val="000000"/>
                    <w:sz w:val="24"/>
                    <w:szCs w:val="24"/>
                    <w14:ligatures w14:val="standardContextual"/>
                  </w:rPr>
                  <w:t>99</w:t>
                </w:r>
                <w:r w:rsidRPr="00D54FCA">
                  <w:rPr>
                    <w:rFonts w:ascii="Times New Roman" w:eastAsia="Aptos" w:hAnsi="Times New Roman" w:cs="Times New Roman"/>
                    <w:noProof/>
                    <w:color w:val="000000"/>
                    <w:sz w:val="24"/>
                    <w:szCs w:val="24"/>
                    <w14:ligatures w14:val="standardContextual"/>
                  </w:rPr>
                  <w:t>(3): 210–215. doi:10.1016/j.fishres.2009.06.004.</w:t>
                </w:r>
              </w:p>
              <w:p w14:paraId="34E5C43F"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Solbakken, V.A., Hansen, T., and Stefansson, S.D. 1994. Effects of photoperiod and temperature on growth and parr-smolt transformation in Atlantic salmon and subsequent performance in seawater. Aquaculture </w:t>
                </w:r>
                <w:r w:rsidRPr="00D54FCA">
                  <w:rPr>
                    <w:rFonts w:ascii="Times New Roman" w:eastAsia="Aptos" w:hAnsi="Times New Roman" w:cs="Times New Roman"/>
                    <w:b/>
                    <w:bCs/>
                    <w:noProof/>
                    <w:color w:val="000000"/>
                    <w:sz w:val="24"/>
                    <w:szCs w:val="24"/>
                    <w14:ligatures w14:val="standardContextual"/>
                  </w:rPr>
                  <w:t>121</w:t>
                </w:r>
                <w:r w:rsidRPr="00D54FCA">
                  <w:rPr>
                    <w:rFonts w:ascii="Times New Roman" w:eastAsia="Aptos" w:hAnsi="Times New Roman" w:cs="Times New Roman"/>
                    <w:noProof/>
                    <w:color w:val="000000"/>
                    <w:sz w:val="24"/>
                    <w:szCs w:val="24"/>
                    <w14:ligatures w14:val="standardContextual"/>
                  </w:rPr>
                  <w:t>: 13–27.</w:t>
                </w:r>
              </w:p>
              <w:p w14:paraId="6DA66FE4"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Staurnes, M., and Finstad, B. 2000. The effects of dietary NaCl supplement on hypo-osmoregulatory ability and sea water performance of Arctic charr (</w:t>
                </w:r>
                <w:r w:rsidRPr="00D54FCA">
                  <w:rPr>
                    <w:rFonts w:ascii="Times New Roman" w:eastAsia="Aptos" w:hAnsi="Times New Roman" w:cs="Times New Roman"/>
                    <w:i/>
                    <w:iCs/>
                    <w:noProof/>
                    <w:color w:val="000000"/>
                    <w:sz w:val="24"/>
                    <w:szCs w:val="24"/>
                    <w14:ligatures w14:val="standardContextual"/>
                  </w:rPr>
                  <w:t>Salvelinus alpinus</w:t>
                </w:r>
                <w:r w:rsidRPr="00D54FCA">
                  <w:rPr>
                    <w:rFonts w:ascii="Times New Roman" w:eastAsia="Aptos" w:hAnsi="Times New Roman" w:cs="Times New Roman"/>
                    <w:noProof/>
                    <w:color w:val="000000"/>
                    <w:sz w:val="24"/>
                    <w:szCs w:val="24"/>
                    <w14:ligatures w14:val="standardContextual"/>
                  </w:rPr>
                  <w:t xml:space="preserve"> L.) smolts. Aquac. Res. </w:t>
                </w:r>
                <w:r w:rsidRPr="00D54FCA">
                  <w:rPr>
                    <w:rFonts w:ascii="Times New Roman" w:eastAsia="Aptos" w:hAnsi="Times New Roman" w:cs="Times New Roman"/>
                    <w:b/>
                    <w:bCs/>
                    <w:noProof/>
                    <w:color w:val="000000"/>
                    <w:sz w:val="24"/>
                    <w:szCs w:val="24"/>
                    <w14:ligatures w14:val="standardContextual"/>
                  </w:rPr>
                  <w:t>31</w:t>
                </w:r>
                <w:r w:rsidRPr="00D54FCA">
                  <w:rPr>
                    <w:rFonts w:ascii="Times New Roman" w:eastAsia="Aptos" w:hAnsi="Times New Roman" w:cs="Times New Roman"/>
                    <w:noProof/>
                    <w:color w:val="000000"/>
                    <w:sz w:val="24"/>
                    <w:szCs w:val="24"/>
                    <w14:ligatures w14:val="standardContextual"/>
                  </w:rPr>
                  <w:t>(10): 737–743. doi:10.1046/j.1365-2109.2000.00495.x.</w:t>
                </w:r>
              </w:p>
              <w:p w14:paraId="251F67DB"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Stich, D.S., Zydlewski, G.B., Kocik, J.F., and Zydlewski, J.D. 2015a. Linking Behavior, Physiology, and Survival of Atlantic Salmon Smolts During Estuary Migration. Mar. Coast. Fish. </w:t>
                </w:r>
                <w:r w:rsidRPr="00D54FCA">
                  <w:rPr>
                    <w:rFonts w:ascii="Times New Roman" w:eastAsia="Aptos" w:hAnsi="Times New Roman" w:cs="Times New Roman"/>
                    <w:b/>
                    <w:bCs/>
                    <w:noProof/>
                    <w:color w:val="000000"/>
                    <w:sz w:val="24"/>
                    <w:szCs w:val="24"/>
                    <w14:ligatures w14:val="standardContextual"/>
                  </w:rPr>
                  <w:t>7</w:t>
                </w:r>
                <w:r w:rsidRPr="00D54FCA">
                  <w:rPr>
                    <w:rFonts w:ascii="Times New Roman" w:eastAsia="Aptos" w:hAnsi="Times New Roman" w:cs="Times New Roman"/>
                    <w:noProof/>
                    <w:color w:val="000000"/>
                    <w:sz w:val="24"/>
                    <w:szCs w:val="24"/>
                    <w14:ligatures w14:val="standardContextual"/>
                  </w:rPr>
                  <w:t>(1): 68–86. doi:10.1080/19425120.2015.1007185.</w:t>
                </w:r>
              </w:p>
              <w:p w14:paraId="40DFF0EF"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Stich, D.S., Zydlewski, G.B., and Zydlewski, J.D. 2015b. Physiological preparedness and performance of Atlantic salmon Salmo salar smolts in relation to behavioural salinity preferences and thresholds. J. Fish Biol. </w:t>
                </w:r>
                <w:r w:rsidRPr="00D54FCA">
                  <w:rPr>
                    <w:rFonts w:ascii="Times New Roman" w:eastAsia="Aptos" w:hAnsi="Times New Roman" w:cs="Times New Roman"/>
                    <w:b/>
                    <w:bCs/>
                    <w:noProof/>
                    <w:color w:val="000000"/>
                    <w:sz w:val="24"/>
                    <w:szCs w:val="24"/>
                    <w14:ligatures w14:val="standardContextual"/>
                  </w:rPr>
                  <w:t>88</w:t>
                </w:r>
                <w:r w:rsidRPr="00D54FCA">
                  <w:rPr>
                    <w:rFonts w:ascii="Times New Roman" w:eastAsia="Aptos" w:hAnsi="Times New Roman" w:cs="Times New Roman"/>
                    <w:noProof/>
                    <w:color w:val="000000"/>
                    <w:sz w:val="24"/>
                    <w:szCs w:val="24"/>
                    <w14:ligatures w14:val="standardContextual"/>
                  </w:rPr>
                  <w:t>(2): 595–617. doi:10.1111/jfb.12853.</w:t>
                </w:r>
              </w:p>
              <w:p w14:paraId="6A2AD963"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Strand, J.E.., Hazlerigg, D., and Jørgensen, E.H. 2018. Photoperiod revisited: is there a critical day length for triggering a complete parr-smolt transformation in Atlantic salmon Salmo salar? J. Fish Biol. </w:t>
                </w:r>
                <w:r w:rsidRPr="00D54FCA">
                  <w:rPr>
                    <w:rFonts w:ascii="Times New Roman" w:eastAsia="Aptos" w:hAnsi="Times New Roman" w:cs="Times New Roman"/>
                    <w:b/>
                    <w:bCs/>
                    <w:noProof/>
                    <w:color w:val="000000"/>
                    <w:sz w:val="24"/>
                    <w:szCs w:val="24"/>
                    <w14:ligatures w14:val="standardContextual"/>
                  </w:rPr>
                  <w:t>93</w:t>
                </w:r>
                <w:r w:rsidRPr="00D54FCA">
                  <w:rPr>
                    <w:rFonts w:ascii="Times New Roman" w:eastAsia="Aptos" w:hAnsi="Times New Roman" w:cs="Times New Roman"/>
                    <w:noProof/>
                    <w:color w:val="000000"/>
                    <w:sz w:val="24"/>
                    <w:szCs w:val="24"/>
                    <w14:ligatures w14:val="standardContextual"/>
                  </w:rPr>
                  <w:t>: 440–448.</w:t>
                </w:r>
              </w:p>
              <w:p w14:paraId="08E29FA2"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 xml:space="preserve">Trombetti, F., Ventrella, V., Pagliarani, A., Ballestrazzi, R., Galeotti, M., Trigari, G., Pirini, M., and Borgatti, A.R. 1996. Response of rainbow trout gill (Na++K+)-ATPase and chloride cells to T3 and NaCl administration. Fish Physiol. Biochem. </w:t>
                </w:r>
                <w:r w:rsidRPr="00D54FCA">
                  <w:rPr>
                    <w:rFonts w:ascii="Times New Roman" w:eastAsia="Aptos" w:hAnsi="Times New Roman" w:cs="Times New Roman"/>
                    <w:b/>
                    <w:bCs/>
                    <w:noProof/>
                    <w:color w:val="000000"/>
                    <w:sz w:val="24"/>
                    <w:szCs w:val="24"/>
                    <w14:ligatures w14:val="standardContextual"/>
                  </w:rPr>
                  <w:t>15</w:t>
                </w:r>
                <w:r w:rsidRPr="00D54FCA">
                  <w:rPr>
                    <w:rFonts w:ascii="Times New Roman" w:eastAsia="Aptos" w:hAnsi="Times New Roman" w:cs="Times New Roman"/>
                    <w:noProof/>
                    <w:color w:val="000000"/>
                    <w:sz w:val="24"/>
                    <w:szCs w:val="24"/>
                    <w14:ligatures w14:val="standardContextual"/>
                  </w:rPr>
                  <w:t>(3): 265–274. doi:10.1007/BF01875577.</w:t>
                </w:r>
              </w:p>
              <w:p w14:paraId="7912B635"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Wilson, S.M., Robinson, K.A., Gutzmann, S., Moore, J.W., and Patterson, D.A. 2021. Limits on performance and survival of juvenile sockeye salmon (</w:t>
                </w:r>
                <w:r w:rsidRPr="00D54FCA">
                  <w:rPr>
                    <w:rFonts w:ascii="Times New Roman" w:eastAsia="Aptos" w:hAnsi="Times New Roman" w:cs="Times New Roman"/>
                    <w:i/>
                    <w:iCs/>
                    <w:noProof/>
                    <w:color w:val="000000"/>
                    <w:sz w:val="24"/>
                    <w:szCs w:val="24"/>
                    <w14:ligatures w14:val="standardContextual"/>
                  </w:rPr>
                  <w:t>Oncorhynchus nerka</w:t>
                </w:r>
                <w:r w:rsidRPr="00D54FCA">
                  <w:rPr>
                    <w:rFonts w:ascii="Times New Roman" w:eastAsia="Aptos" w:hAnsi="Times New Roman" w:cs="Times New Roman"/>
                    <w:noProof/>
                    <w:color w:val="000000"/>
                    <w:sz w:val="24"/>
                    <w:szCs w:val="24"/>
                    <w14:ligatures w14:val="standardContextual"/>
                  </w:rPr>
                  <w:t xml:space="preserve">) during food deprivation: A laboratory-based study. Conserv. Physiol. </w:t>
                </w:r>
                <w:r w:rsidRPr="00D54FCA">
                  <w:rPr>
                    <w:rFonts w:ascii="Times New Roman" w:eastAsia="Aptos" w:hAnsi="Times New Roman" w:cs="Times New Roman"/>
                    <w:b/>
                    <w:bCs/>
                    <w:noProof/>
                    <w:color w:val="000000"/>
                    <w:sz w:val="24"/>
                    <w:szCs w:val="24"/>
                    <w14:ligatures w14:val="standardContextual"/>
                  </w:rPr>
                  <w:t>9</w:t>
                </w:r>
                <w:r w:rsidRPr="00D54FCA">
                  <w:rPr>
                    <w:rFonts w:ascii="Times New Roman" w:eastAsia="Aptos" w:hAnsi="Times New Roman" w:cs="Times New Roman"/>
                    <w:noProof/>
                    <w:color w:val="000000"/>
                    <w:sz w:val="24"/>
                    <w:szCs w:val="24"/>
                    <w14:ligatures w14:val="standardContextual"/>
                  </w:rPr>
                  <w:t>(1): 1–18. doi:10.1093/conphys/coab014.</w:t>
                </w:r>
              </w:p>
              <w:p w14:paraId="5DE4FD79" w14:textId="77777777" w:rsidR="00D54FCA" w:rsidRPr="00D54FCA" w:rsidRDefault="00D54FCA" w:rsidP="00D54FCA">
                <w:pPr>
                  <w:widowControl w:val="0"/>
                  <w:autoSpaceDE w:val="0"/>
                  <w:autoSpaceDN w:val="0"/>
                  <w:adjustRightInd w:val="0"/>
                  <w:ind w:left="480" w:hanging="480"/>
                  <w:rPr>
                    <w:rFonts w:ascii="Times New Roman" w:eastAsia="Aptos" w:hAnsi="Times New Roman" w:cs="Times New Roman"/>
                    <w:noProof/>
                    <w:color w:val="000000"/>
                    <w:kern w:val="2"/>
                    <w:sz w:val="24"/>
                    <w:szCs w:val="24"/>
                    <w14:ligatures w14:val="standardContextual"/>
                  </w:rPr>
                </w:pPr>
                <w:r w:rsidRPr="00D54FCA">
                  <w:rPr>
                    <w:rFonts w:ascii="Times New Roman" w:eastAsia="Aptos" w:hAnsi="Times New Roman" w:cs="Times New Roman"/>
                    <w:noProof/>
                    <w:color w:val="000000"/>
                    <w:sz w:val="24"/>
                    <w:szCs w:val="24"/>
                    <w14:ligatures w14:val="standardContextual"/>
                  </w:rPr>
                  <w:t>Zaugg, W.S., Roley, D.D., Prentice, E.F., Gores, K.X., and Waknitz, F.W. 1983. Increased seawater survival and contribution to the fishery of chinook salmon (</w:t>
                </w:r>
                <w:r w:rsidRPr="00D54FCA">
                  <w:rPr>
                    <w:rFonts w:ascii="Times New Roman" w:eastAsia="Aptos" w:hAnsi="Times New Roman" w:cs="Times New Roman"/>
                    <w:i/>
                    <w:iCs/>
                    <w:noProof/>
                    <w:color w:val="000000"/>
                    <w:sz w:val="24"/>
                    <w:szCs w:val="24"/>
                    <w14:ligatures w14:val="standardContextual"/>
                  </w:rPr>
                  <w:t>Oncorhynchus tshawytscha</w:t>
                </w:r>
                <w:r w:rsidRPr="00D54FCA">
                  <w:rPr>
                    <w:rFonts w:ascii="Times New Roman" w:eastAsia="Aptos" w:hAnsi="Times New Roman" w:cs="Times New Roman"/>
                    <w:noProof/>
                    <w:color w:val="000000"/>
                    <w:sz w:val="24"/>
                    <w:szCs w:val="24"/>
                    <w14:ligatures w14:val="standardContextual"/>
                  </w:rPr>
                  <w:t xml:space="preserve">) by supplemental dietary salt. Aquaculture </w:t>
                </w:r>
                <w:r w:rsidRPr="00D54FCA">
                  <w:rPr>
                    <w:rFonts w:ascii="Times New Roman" w:eastAsia="Aptos" w:hAnsi="Times New Roman" w:cs="Times New Roman"/>
                    <w:b/>
                    <w:bCs/>
                    <w:noProof/>
                    <w:color w:val="000000"/>
                    <w:sz w:val="24"/>
                    <w:szCs w:val="24"/>
                    <w14:ligatures w14:val="standardContextual"/>
                  </w:rPr>
                  <w:t>32</w:t>
                </w:r>
                <w:r w:rsidRPr="00D54FCA">
                  <w:rPr>
                    <w:rFonts w:ascii="Times New Roman" w:eastAsia="Aptos" w:hAnsi="Times New Roman" w:cs="Times New Roman"/>
                    <w:noProof/>
                    <w:color w:val="000000"/>
                    <w:sz w:val="24"/>
                    <w:szCs w:val="24"/>
                    <w14:ligatures w14:val="standardContextual"/>
                  </w:rPr>
                  <w:t>(1–2): 183–188.</w:t>
                </w:r>
              </w:p>
              <w:p w14:paraId="34DCEC4A" w14:textId="77777777" w:rsidR="00D54FCA" w:rsidRPr="00D54FCA" w:rsidRDefault="00D54FCA" w:rsidP="00D54FCA">
                <w:pPr>
                  <w:rPr>
                    <w:rFonts w:ascii="Times New Roman" w:eastAsia="Aptos" w:hAnsi="Times New Roman" w:cs="Times New Roman"/>
                    <w:color w:val="000000"/>
                    <w:kern w:val="2"/>
                    <w:sz w:val="24"/>
                    <w:szCs w:val="24"/>
                    <w14:ligatures w14:val="standardContextual"/>
                  </w:rPr>
                </w:pPr>
                <w:r w:rsidRPr="00D54FCA">
                  <w:rPr>
                    <w:rFonts w:ascii="Times New Roman" w:eastAsia="Aptos" w:hAnsi="Times New Roman" w:cs="Times New Roman"/>
                    <w:color w:val="000000"/>
                    <w:kern w:val="2"/>
                    <w:sz w:val="24"/>
                    <w:szCs w:val="24"/>
                    <w14:ligatures w14:val="standardContextual"/>
                  </w:rPr>
                  <w:fldChar w:fldCharType="end"/>
                </w:r>
              </w:p>
              <w:p w14:paraId="298FC293" w14:textId="1A61AADA" w:rsidR="0050287C" w:rsidRDefault="0050287C" w:rsidP="005861AD">
                <w:pPr>
                  <w:rPr>
                    <w:rFonts w:ascii="Calibri" w:eastAsia="Yu Mincho" w:hAnsi="Calibri" w:cs="Arial"/>
                  </w:rPr>
                </w:pP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3"/>
      <w:head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52D1D" w14:textId="77777777" w:rsidR="00964188" w:rsidRDefault="00964188" w:rsidP="0002778A">
      <w:pPr>
        <w:spacing w:after="0" w:line="240" w:lineRule="auto"/>
      </w:pPr>
      <w:r>
        <w:separator/>
      </w:r>
    </w:p>
  </w:endnote>
  <w:endnote w:type="continuationSeparator" w:id="0">
    <w:p w14:paraId="5A9D4166" w14:textId="77777777" w:rsidR="00964188" w:rsidRDefault="00964188" w:rsidP="0002778A">
      <w:pPr>
        <w:spacing w:after="0" w:line="240" w:lineRule="auto"/>
      </w:pPr>
      <w:r>
        <w:continuationSeparator/>
      </w:r>
    </w:p>
  </w:endnote>
  <w:endnote w:type="continuationNotice" w:id="1">
    <w:p w14:paraId="62AE68CB" w14:textId="77777777" w:rsidR="00964188" w:rsidRDefault="009641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A8831" w14:textId="77777777" w:rsidR="00964188" w:rsidRDefault="00964188" w:rsidP="0002778A">
      <w:pPr>
        <w:spacing w:after="0" w:line="240" w:lineRule="auto"/>
      </w:pPr>
      <w:r>
        <w:separator/>
      </w:r>
    </w:p>
  </w:footnote>
  <w:footnote w:type="continuationSeparator" w:id="0">
    <w:p w14:paraId="65F4E8A9" w14:textId="77777777" w:rsidR="00964188" w:rsidRDefault="00964188" w:rsidP="0002778A">
      <w:pPr>
        <w:spacing w:after="0" w:line="240" w:lineRule="auto"/>
      </w:pPr>
      <w:r>
        <w:continuationSeparator/>
      </w:r>
    </w:p>
  </w:footnote>
  <w:footnote w:type="continuationNotice" w:id="1">
    <w:p w14:paraId="1961F762" w14:textId="77777777" w:rsidR="00964188" w:rsidRDefault="0096418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32A399B"/>
    <w:multiLevelType w:val="hybridMultilevel"/>
    <w:tmpl w:val="6A4A1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6"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5"/>
  </w:num>
  <w:num w:numId="2" w16cid:durableId="556165802">
    <w:abstractNumId w:val="4"/>
  </w:num>
  <w:num w:numId="3" w16cid:durableId="348218571">
    <w:abstractNumId w:val="7"/>
  </w:num>
  <w:num w:numId="4" w16cid:durableId="668947069">
    <w:abstractNumId w:val="9"/>
  </w:num>
  <w:num w:numId="5" w16cid:durableId="1970742262">
    <w:abstractNumId w:val="3"/>
  </w:num>
  <w:num w:numId="6" w16cid:durableId="1588999565">
    <w:abstractNumId w:val="0"/>
  </w:num>
  <w:num w:numId="7" w16cid:durableId="427114620">
    <w:abstractNumId w:val="1"/>
  </w:num>
  <w:num w:numId="8" w16cid:durableId="1986618059">
    <w:abstractNumId w:val="6"/>
  </w:num>
  <w:num w:numId="9" w16cid:durableId="1489710675">
    <w:abstractNumId w:val="8"/>
  </w:num>
  <w:num w:numId="10" w16cid:durableId="1085032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42D09"/>
    <w:rsid w:val="00045DF8"/>
    <w:rsid w:val="00052F7B"/>
    <w:rsid w:val="000572DC"/>
    <w:rsid w:val="00061F86"/>
    <w:rsid w:val="000625D8"/>
    <w:rsid w:val="0006475B"/>
    <w:rsid w:val="00064EDC"/>
    <w:rsid w:val="000660CA"/>
    <w:rsid w:val="00066897"/>
    <w:rsid w:val="000711A4"/>
    <w:rsid w:val="00072529"/>
    <w:rsid w:val="0007276C"/>
    <w:rsid w:val="0007626F"/>
    <w:rsid w:val="00077038"/>
    <w:rsid w:val="000772BD"/>
    <w:rsid w:val="00082A2A"/>
    <w:rsid w:val="000916A8"/>
    <w:rsid w:val="0009177D"/>
    <w:rsid w:val="00092AD2"/>
    <w:rsid w:val="00093F19"/>
    <w:rsid w:val="0009417A"/>
    <w:rsid w:val="00096699"/>
    <w:rsid w:val="00097B41"/>
    <w:rsid w:val="000A344C"/>
    <w:rsid w:val="000A4B8F"/>
    <w:rsid w:val="000A78E7"/>
    <w:rsid w:val="000B497E"/>
    <w:rsid w:val="000B7716"/>
    <w:rsid w:val="000C111C"/>
    <w:rsid w:val="000C1D12"/>
    <w:rsid w:val="000C1EB2"/>
    <w:rsid w:val="000C5571"/>
    <w:rsid w:val="000C55A4"/>
    <w:rsid w:val="000D06D4"/>
    <w:rsid w:val="000D0B69"/>
    <w:rsid w:val="000D3CC8"/>
    <w:rsid w:val="000D40ED"/>
    <w:rsid w:val="000D5905"/>
    <w:rsid w:val="000D5C82"/>
    <w:rsid w:val="000E1806"/>
    <w:rsid w:val="000E3191"/>
    <w:rsid w:val="000E7AE8"/>
    <w:rsid w:val="000F2359"/>
    <w:rsid w:val="000F609F"/>
    <w:rsid w:val="00100684"/>
    <w:rsid w:val="00101A99"/>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4BDB"/>
    <w:rsid w:val="00147038"/>
    <w:rsid w:val="0014763F"/>
    <w:rsid w:val="001527C3"/>
    <w:rsid w:val="0015439C"/>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140A"/>
    <w:rsid w:val="00184F9C"/>
    <w:rsid w:val="00185EDD"/>
    <w:rsid w:val="0019248E"/>
    <w:rsid w:val="00193E97"/>
    <w:rsid w:val="001950AA"/>
    <w:rsid w:val="001950D7"/>
    <w:rsid w:val="001962D9"/>
    <w:rsid w:val="00197A7A"/>
    <w:rsid w:val="001A4D03"/>
    <w:rsid w:val="001A53F4"/>
    <w:rsid w:val="001A5684"/>
    <w:rsid w:val="001B236E"/>
    <w:rsid w:val="001B33EC"/>
    <w:rsid w:val="001B3927"/>
    <w:rsid w:val="001B7297"/>
    <w:rsid w:val="001C1947"/>
    <w:rsid w:val="001C3947"/>
    <w:rsid w:val="001C4E24"/>
    <w:rsid w:val="001C79F0"/>
    <w:rsid w:val="001D0A0A"/>
    <w:rsid w:val="001D1C18"/>
    <w:rsid w:val="001D53F2"/>
    <w:rsid w:val="001E2C8C"/>
    <w:rsid w:val="001E318C"/>
    <w:rsid w:val="001E4793"/>
    <w:rsid w:val="001E5A62"/>
    <w:rsid w:val="001E6179"/>
    <w:rsid w:val="001F5125"/>
    <w:rsid w:val="001F585B"/>
    <w:rsid w:val="001F60A4"/>
    <w:rsid w:val="001F6F44"/>
    <w:rsid w:val="001F750C"/>
    <w:rsid w:val="00200591"/>
    <w:rsid w:val="00205903"/>
    <w:rsid w:val="00211445"/>
    <w:rsid w:val="00212EF5"/>
    <w:rsid w:val="00212FE3"/>
    <w:rsid w:val="00216B87"/>
    <w:rsid w:val="00217704"/>
    <w:rsid w:val="00231F72"/>
    <w:rsid w:val="00236FE6"/>
    <w:rsid w:val="002374F8"/>
    <w:rsid w:val="002406C6"/>
    <w:rsid w:val="00240D77"/>
    <w:rsid w:val="002439BE"/>
    <w:rsid w:val="00245A63"/>
    <w:rsid w:val="00247F8D"/>
    <w:rsid w:val="0025105F"/>
    <w:rsid w:val="002515CF"/>
    <w:rsid w:val="002578CD"/>
    <w:rsid w:val="00263379"/>
    <w:rsid w:val="00265144"/>
    <w:rsid w:val="00267AB7"/>
    <w:rsid w:val="002704BD"/>
    <w:rsid w:val="00270857"/>
    <w:rsid w:val="00272C41"/>
    <w:rsid w:val="002741C7"/>
    <w:rsid w:val="0027633D"/>
    <w:rsid w:val="002809E2"/>
    <w:rsid w:val="00283BF7"/>
    <w:rsid w:val="0028442D"/>
    <w:rsid w:val="0029377A"/>
    <w:rsid w:val="00293C72"/>
    <w:rsid w:val="00295028"/>
    <w:rsid w:val="002969D1"/>
    <w:rsid w:val="002A4743"/>
    <w:rsid w:val="002A50FA"/>
    <w:rsid w:val="002A5B95"/>
    <w:rsid w:val="002A61D3"/>
    <w:rsid w:val="002B13E2"/>
    <w:rsid w:val="002B20B3"/>
    <w:rsid w:val="002B58B6"/>
    <w:rsid w:val="002C1293"/>
    <w:rsid w:val="002C234A"/>
    <w:rsid w:val="002C45A2"/>
    <w:rsid w:val="002C5962"/>
    <w:rsid w:val="002C6C59"/>
    <w:rsid w:val="002D1441"/>
    <w:rsid w:val="002D4058"/>
    <w:rsid w:val="002D40AA"/>
    <w:rsid w:val="002D6AAC"/>
    <w:rsid w:val="002E013F"/>
    <w:rsid w:val="002E526C"/>
    <w:rsid w:val="002F2D34"/>
    <w:rsid w:val="002F3857"/>
    <w:rsid w:val="002F5F6E"/>
    <w:rsid w:val="002F6771"/>
    <w:rsid w:val="002F6A8F"/>
    <w:rsid w:val="00302DFC"/>
    <w:rsid w:val="00303FAC"/>
    <w:rsid w:val="00306A13"/>
    <w:rsid w:val="00310544"/>
    <w:rsid w:val="00312466"/>
    <w:rsid w:val="00313E2B"/>
    <w:rsid w:val="00317475"/>
    <w:rsid w:val="00322343"/>
    <w:rsid w:val="003232CF"/>
    <w:rsid w:val="00323740"/>
    <w:rsid w:val="0032455D"/>
    <w:rsid w:val="00324C7B"/>
    <w:rsid w:val="00326C98"/>
    <w:rsid w:val="00334DC2"/>
    <w:rsid w:val="00336B9F"/>
    <w:rsid w:val="0033789F"/>
    <w:rsid w:val="00337DC5"/>
    <w:rsid w:val="003408B0"/>
    <w:rsid w:val="0034093D"/>
    <w:rsid w:val="00343701"/>
    <w:rsid w:val="00346B84"/>
    <w:rsid w:val="003471A8"/>
    <w:rsid w:val="00352A94"/>
    <w:rsid w:val="003547A8"/>
    <w:rsid w:val="0035550F"/>
    <w:rsid w:val="00355B60"/>
    <w:rsid w:val="00364BCB"/>
    <w:rsid w:val="00375967"/>
    <w:rsid w:val="00377B0C"/>
    <w:rsid w:val="00382B33"/>
    <w:rsid w:val="0038374C"/>
    <w:rsid w:val="00384AA9"/>
    <w:rsid w:val="003869B9"/>
    <w:rsid w:val="00393402"/>
    <w:rsid w:val="003949F4"/>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3E90"/>
    <w:rsid w:val="003E6B3D"/>
    <w:rsid w:val="003E6C33"/>
    <w:rsid w:val="003F07A7"/>
    <w:rsid w:val="003F5653"/>
    <w:rsid w:val="004036DF"/>
    <w:rsid w:val="00403E1D"/>
    <w:rsid w:val="00406271"/>
    <w:rsid w:val="0041335E"/>
    <w:rsid w:val="00415F3E"/>
    <w:rsid w:val="00420468"/>
    <w:rsid w:val="0042051C"/>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760B"/>
    <w:rsid w:val="00493F17"/>
    <w:rsid w:val="00494DED"/>
    <w:rsid w:val="00496596"/>
    <w:rsid w:val="004A0F07"/>
    <w:rsid w:val="004A6628"/>
    <w:rsid w:val="004A7EAA"/>
    <w:rsid w:val="004B421F"/>
    <w:rsid w:val="004C4EA7"/>
    <w:rsid w:val="004C7A1B"/>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31608"/>
    <w:rsid w:val="00535FAA"/>
    <w:rsid w:val="005362CC"/>
    <w:rsid w:val="00536FAD"/>
    <w:rsid w:val="00537CFF"/>
    <w:rsid w:val="005425B1"/>
    <w:rsid w:val="00547A6C"/>
    <w:rsid w:val="005514B9"/>
    <w:rsid w:val="0055494A"/>
    <w:rsid w:val="00555E9C"/>
    <w:rsid w:val="00557D26"/>
    <w:rsid w:val="00560D40"/>
    <w:rsid w:val="00574BD0"/>
    <w:rsid w:val="00576614"/>
    <w:rsid w:val="005861AD"/>
    <w:rsid w:val="00590331"/>
    <w:rsid w:val="005928C6"/>
    <w:rsid w:val="00594D32"/>
    <w:rsid w:val="00595A1D"/>
    <w:rsid w:val="005A05EA"/>
    <w:rsid w:val="005A1467"/>
    <w:rsid w:val="005A3AF5"/>
    <w:rsid w:val="005A5D01"/>
    <w:rsid w:val="005B3D29"/>
    <w:rsid w:val="005B3D94"/>
    <w:rsid w:val="005B3FB7"/>
    <w:rsid w:val="005B600E"/>
    <w:rsid w:val="005B6B37"/>
    <w:rsid w:val="005B7197"/>
    <w:rsid w:val="005C1440"/>
    <w:rsid w:val="005C1B48"/>
    <w:rsid w:val="005C3B18"/>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10F8F"/>
    <w:rsid w:val="0061232B"/>
    <w:rsid w:val="006137C0"/>
    <w:rsid w:val="0061484C"/>
    <w:rsid w:val="00615CA2"/>
    <w:rsid w:val="006168ED"/>
    <w:rsid w:val="00616B8C"/>
    <w:rsid w:val="006210D4"/>
    <w:rsid w:val="00623E5E"/>
    <w:rsid w:val="00625DC9"/>
    <w:rsid w:val="0062772F"/>
    <w:rsid w:val="00631B34"/>
    <w:rsid w:val="00633193"/>
    <w:rsid w:val="00633CE7"/>
    <w:rsid w:val="006353EF"/>
    <w:rsid w:val="006366F4"/>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72CC6"/>
    <w:rsid w:val="00673887"/>
    <w:rsid w:val="00675BDA"/>
    <w:rsid w:val="006770D3"/>
    <w:rsid w:val="0068713C"/>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FA4"/>
    <w:rsid w:val="006E27B9"/>
    <w:rsid w:val="006E4482"/>
    <w:rsid w:val="006E5FB0"/>
    <w:rsid w:val="006F1DA3"/>
    <w:rsid w:val="006F37D7"/>
    <w:rsid w:val="006F5947"/>
    <w:rsid w:val="0070177C"/>
    <w:rsid w:val="007018A0"/>
    <w:rsid w:val="007076C9"/>
    <w:rsid w:val="007105C4"/>
    <w:rsid w:val="007131CE"/>
    <w:rsid w:val="007210CD"/>
    <w:rsid w:val="00723463"/>
    <w:rsid w:val="007235CB"/>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41CD"/>
    <w:rsid w:val="007A0005"/>
    <w:rsid w:val="007A0F58"/>
    <w:rsid w:val="007A2267"/>
    <w:rsid w:val="007A2F7D"/>
    <w:rsid w:val="007A30B1"/>
    <w:rsid w:val="007A33B6"/>
    <w:rsid w:val="007A5006"/>
    <w:rsid w:val="007B0BF1"/>
    <w:rsid w:val="007B3E63"/>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32449"/>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0E5D"/>
    <w:rsid w:val="00874784"/>
    <w:rsid w:val="008748CD"/>
    <w:rsid w:val="00875706"/>
    <w:rsid w:val="00875DB3"/>
    <w:rsid w:val="00876B44"/>
    <w:rsid w:val="0088618C"/>
    <w:rsid w:val="00887093"/>
    <w:rsid w:val="00887BF3"/>
    <w:rsid w:val="00896046"/>
    <w:rsid w:val="008970F7"/>
    <w:rsid w:val="008A198E"/>
    <w:rsid w:val="008A21F7"/>
    <w:rsid w:val="008A6C89"/>
    <w:rsid w:val="008A734A"/>
    <w:rsid w:val="008B0D23"/>
    <w:rsid w:val="008B5251"/>
    <w:rsid w:val="008C464A"/>
    <w:rsid w:val="008C5492"/>
    <w:rsid w:val="008D00EB"/>
    <w:rsid w:val="008D0EDB"/>
    <w:rsid w:val="008D2ED8"/>
    <w:rsid w:val="008D44C7"/>
    <w:rsid w:val="008D4B56"/>
    <w:rsid w:val="008D5D83"/>
    <w:rsid w:val="008E03FC"/>
    <w:rsid w:val="008E7553"/>
    <w:rsid w:val="008F021A"/>
    <w:rsid w:val="008F104A"/>
    <w:rsid w:val="008F2F6F"/>
    <w:rsid w:val="008F331D"/>
    <w:rsid w:val="008F3A3D"/>
    <w:rsid w:val="008F3E29"/>
    <w:rsid w:val="008F4E2C"/>
    <w:rsid w:val="008F5C69"/>
    <w:rsid w:val="00902676"/>
    <w:rsid w:val="00904FAA"/>
    <w:rsid w:val="00911FC0"/>
    <w:rsid w:val="00915043"/>
    <w:rsid w:val="00917A45"/>
    <w:rsid w:val="009219B5"/>
    <w:rsid w:val="00924504"/>
    <w:rsid w:val="00927655"/>
    <w:rsid w:val="009301D5"/>
    <w:rsid w:val="00936A32"/>
    <w:rsid w:val="00942B16"/>
    <w:rsid w:val="00945918"/>
    <w:rsid w:val="00945BDE"/>
    <w:rsid w:val="00951BD3"/>
    <w:rsid w:val="00953642"/>
    <w:rsid w:val="009540EA"/>
    <w:rsid w:val="009548F0"/>
    <w:rsid w:val="0095735B"/>
    <w:rsid w:val="0096301A"/>
    <w:rsid w:val="00964188"/>
    <w:rsid w:val="00965278"/>
    <w:rsid w:val="009658A8"/>
    <w:rsid w:val="00965D57"/>
    <w:rsid w:val="00967BD3"/>
    <w:rsid w:val="0097163B"/>
    <w:rsid w:val="0097270C"/>
    <w:rsid w:val="00975C17"/>
    <w:rsid w:val="00975D51"/>
    <w:rsid w:val="00983B04"/>
    <w:rsid w:val="00990897"/>
    <w:rsid w:val="00991422"/>
    <w:rsid w:val="009934DE"/>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538"/>
    <w:rsid w:val="009E4874"/>
    <w:rsid w:val="009E6680"/>
    <w:rsid w:val="00A03474"/>
    <w:rsid w:val="00A075F1"/>
    <w:rsid w:val="00A1125C"/>
    <w:rsid w:val="00A13FD6"/>
    <w:rsid w:val="00A159B9"/>
    <w:rsid w:val="00A16265"/>
    <w:rsid w:val="00A17565"/>
    <w:rsid w:val="00A240CE"/>
    <w:rsid w:val="00A26D19"/>
    <w:rsid w:val="00A279CE"/>
    <w:rsid w:val="00A340E6"/>
    <w:rsid w:val="00A37493"/>
    <w:rsid w:val="00A37B86"/>
    <w:rsid w:val="00A41323"/>
    <w:rsid w:val="00A41CBF"/>
    <w:rsid w:val="00A433BF"/>
    <w:rsid w:val="00A454EB"/>
    <w:rsid w:val="00A473A8"/>
    <w:rsid w:val="00A5088E"/>
    <w:rsid w:val="00A52BA5"/>
    <w:rsid w:val="00A53D8D"/>
    <w:rsid w:val="00A54D5B"/>
    <w:rsid w:val="00A63D68"/>
    <w:rsid w:val="00A63E8C"/>
    <w:rsid w:val="00A6481C"/>
    <w:rsid w:val="00A64E11"/>
    <w:rsid w:val="00A65213"/>
    <w:rsid w:val="00A7001A"/>
    <w:rsid w:val="00A71A17"/>
    <w:rsid w:val="00A72B20"/>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D1CA3"/>
    <w:rsid w:val="00AD74CF"/>
    <w:rsid w:val="00AE33B6"/>
    <w:rsid w:val="00AF3712"/>
    <w:rsid w:val="00B05CCE"/>
    <w:rsid w:val="00B06488"/>
    <w:rsid w:val="00B104EC"/>
    <w:rsid w:val="00B158F1"/>
    <w:rsid w:val="00B16B3A"/>
    <w:rsid w:val="00B17DBB"/>
    <w:rsid w:val="00B2407A"/>
    <w:rsid w:val="00B2796C"/>
    <w:rsid w:val="00B31197"/>
    <w:rsid w:val="00B3256A"/>
    <w:rsid w:val="00B36CF9"/>
    <w:rsid w:val="00B37578"/>
    <w:rsid w:val="00B41981"/>
    <w:rsid w:val="00B419FE"/>
    <w:rsid w:val="00B42AE7"/>
    <w:rsid w:val="00B45777"/>
    <w:rsid w:val="00B45CE9"/>
    <w:rsid w:val="00B52D98"/>
    <w:rsid w:val="00B533A3"/>
    <w:rsid w:val="00B63000"/>
    <w:rsid w:val="00B63080"/>
    <w:rsid w:val="00B63A8F"/>
    <w:rsid w:val="00B6739D"/>
    <w:rsid w:val="00B67D31"/>
    <w:rsid w:val="00B819D8"/>
    <w:rsid w:val="00B831E5"/>
    <w:rsid w:val="00B85306"/>
    <w:rsid w:val="00B8579D"/>
    <w:rsid w:val="00B90D5C"/>
    <w:rsid w:val="00B91189"/>
    <w:rsid w:val="00B97D5F"/>
    <w:rsid w:val="00BA0C90"/>
    <w:rsid w:val="00BA5D0F"/>
    <w:rsid w:val="00BB1043"/>
    <w:rsid w:val="00BB5054"/>
    <w:rsid w:val="00BB58F7"/>
    <w:rsid w:val="00BC0B74"/>
    <w:rsid w:val="00BC5745"/>
    <w:rsid w:val="00BD2210"/>
    <w:rsid w:val="00BD4F81"/>
    <w:rsid w:val="00BD7F56"/>
    <w:rsid w:val="00BE046F"/>
    <w:rsid w:val="00BE3F05"/>
    <w:rsid w:val="00BE5438"/>
    <w:rsid w:val="00BE6EC9"/>
    <w:rsid w:val="00BE75A3"/>
    <w:rsid w:val="00BF4EAF"/>
    <w:rsid w:val="00BF7B7E"/>
    <w:rsid w:val="00C00735"/>
    <w:rsid w:val="00C0128F"/>
    <w:rsid w:val="00C0486B"/>
    <w:rsid w:val="00C0753A"/>
    <w:rsid w:val="00C13EC3"/>
    <w:rsid w:val="00C14DD7"/>
    <w:rsid w:val="00C20141"/>
    <w:rsid w:val="00C2526F"/>
    <w:rsid w:val="00C32B2A"/>
    <w:rsid w:val="00C35248"/>
    <w:rsid w:val="00C3671D"/>
    <w:rsid w:val="00C4146C"/>
    <w:rsid w:val="00C42107"/>
    <w:rsid w:val="00C42788"/>
    <w:rsid w:val="00C4411B"/>
    <w:rsid w:val="00C514E7"/>
    <w:rsid w:val="00C5176E"/>
    <w:rsid w:val="00C5199A"/>
    <w:rsid w:val="00C5489C"/>
    <w:rsid w:val="00C562E6"/>
    <w:rsid w:val="00C65C8E"/>
    <w:rsid w:val="00C7760D"/>
    <w:rsid w:val="00C82CA4"/>
    <w:rsid w:val="00C834E6"/>
    <w:rsid w:val="00C83F87"/>
    <w:rsid w:val="00C84406"/>
    <w:rsid w:val="00C87FD3"/>
    <w:rsid w:val="00C901A3"/>
    <w:rsid w:val="00C90C2E"/>
    <w:rsid w:val="00C918DB"/>
    <w:rsid w:val="00C92C7C"/>
    <w:rsid w:val="00C93E1E"/>
    <w:rsid w:val="00C976AA"/>
    <w:rsid w:val="00CA224C"/>
    <w:rsid w:val="00CA5814"/>
    <w:rsid w:val="00CA66F6"/>
    <w:rsid w:val="00CA7F2E"/>
    <w:rsid w:val="00CB7E06"/>
    <w:rsid w:val="00CC00B9"/>
    <w:rsid w:val="00CC1174"/>
    <w:rsid w:val="00CC1A4C"/>
    <w:rsid w:val="00CC1FDD"/>
    <w:rsid w:val="00CC3762"/>
    <w:rsid w:val="00CC547E"/>
    <w:rsid w:val="00CC5C2B"/>
    <w:rsid w:val="00CC6AE8"/>
    <w:rsid w:val="00CC6FC5"/>
    <w:rsid w:val="00CC79B1"/>
    <w:rsid w:val="00CD0500"/>
    <w:rsid w:val="00CD75A1"/>
    <w:rsid w:val="00CE05D4"/>
    <w:rsid w:val="00CE10A0"/>
    <w:rsid w:val="00CE344F"/>
    <w:rsid w:val="00CE4C2F"/>
    <w:rsid w:val="00CE54CA"/>
    <w:rsid w:val="00D01294"/>
    <w:rsid w:val="00D07DEC"/>
    <w:rsid w:val="00D136AD"/>
    <w:rsid w:val="00D15AFF"/>
    <w:rsid w:val="00D21D20"/>
    <w:rsid w:val="00D23652"/>
    <w:rsid w:val="00D257EF"/>
    <w:rsid w:val="00D25C67"/>
    <w:rsid w:val="00D51230"/>
    <w:rsid w:val="00D52167"/>
    <w:rsid w:val="00D538D8"/>
    <w:rsid w:val="00D543CB"/>
    <w:rsid w:val="00D54FCA"/>
    <w:rsid w:val="00D57733"/>
    <w:rsid w:val="00D6085B"/>
    <w:rsid w:val="00D72BCB"/>
    <w:rsid w:val="00D74021"/>
    <w:rsid w:val="00D75049"/>
    <w:rsid w:val="00D7532D"/>
    <w:rsid w:val="00D825FC"/>
    <w:rsid w:val="00D8486A"/>
    <w:rsid w:val="00D84C8D"/>
    <w:rsid w:val="00D869AA"/>
    <w:rsid w:val="00D870E0"/>
    <w:rsid w:val="00D94D5B"/>
    <w:rsid w:val="00D95C3C"/>
    <w:rsid w:val="00DB3E89"/>
    <w:rsid w:val="00DB5CFD"/>
    <w:rsid w:val="00DC0F76"/>
    <w:rsid w:val="00DC2920"/>
    <w:rsid w:val="00DC62AD"/>
    <w:rsid w:val="00DC7C38"/>
    <w:rsid w:val="00DC7C78"/>
    <w:rsid w:val="00DD25C7"/>
    <w:rsid w:val="00DD36B8"/>
    <w:rsid w:val="00DE06A2"/>
    <w:rsid w:val="00DE12F7"/>
    <w:rsid w:val="00DE7B6D"/>
    <w:rsid w:val="00DF076B"/>
    <w:rsid w:val="00DF2AFF"/>
    <w:rsid w:val="00DF2D35"/>
    <w:rsid w:val="00DF443B"/>
    <w:rsid w:val="00DF6C48"/>
    <w:rsid w:val="00E02463"/>
    <w:rsid w:val="00E042EF"/>
    <w:rsid w:val="00E04A37"/>
    <w:rsid w:val="00E10B6E"/>
    <w:rsid w:val="00E12975"/>
    <w:rsid w:val="00E13D29"/>
    <w:rsid w:val="00E14F46"/>
    <w:rsid w:val="00E22E6D"/>
    <w:rsid w:val="00E236FF"/>
    <w:rsid w:val="00E23958"/>
    <w:rsid w:val="00E25877"/>
    <w:rsid w:val="00E349BA"/>
    <w:rsid w:val="00E35DDF"/>
    <w:rsid w:val="00E366F4"/>
    <w:rsid w:val="00E4254F"/>
    <w:rsid w:val="00E45F84"/>
    <w:rsid w:val="00E47569"/>
    <w:rsid w:val="00E546A5"/>
    <w:rsid w:val="00E61739"/>
    <w:rsid w:val="00E62D31"/>
    <w:rsid w:val="00E634EE"/>
    <w:rsid w:val="00E65EFD"/>
    <w:rsid w:val="00E67C83"/>
    <w:rsid w:val="00E739CC"/>
    <w:rsid w:val="00E73B7C"/>
    <w:rsid w:val="00E73C69"/>
    <w:rsid w:val="00E74568"/>
    <w:rsid w:val="00E7636B"/>
    <w:rsid w:val="00E76D34"/>
    <w:rsid w:val="00E80C3B"/>
    <w:rsid w:val="00E84598"/>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C5FF6"/>
    <w:rsid w:val="00EE070F"/>
    <w:rsid w:val="00EE0A85"/>
    <w:rsid w:val="00EE0AF5"/>
    <w:rsid w:val="00EE2DC7"/>
    <w:rsid w:val="00EE2E58"/>
    <w:rsid w:val="00EE66A8"/>
    <w:rsid w:val="00EE7B1A"/>
    <w:rsid w:val="00EE7DB0"/>
    <w:rsid w:val="00EF0275"/>
    <w:rsid w:val="00F01EFE"/>
    <w:rsid w:val="00F033D4"/>
    <w:rsid w:val="00F04E6D"/>
    <w:rsid w:val="00F14B6A"/>
    <w:rsid w:val="00F206AB"/>
    <w:rsid w:val="00F2577B"/>
    <w:rsid w:val="00F25F10"/>
    <w:rsid w:val="00F2600B"/>
    <w:rsid w:val="00F27A3D"/>
    <w:rsid w:val="00F3097A"/>
    <w:rsid w:val="00F32302"/>
    <w:rsid w:val="00F369D2"/>
    <w:rsid w:val="00F378C7"/>
    <w:rsid w:val="00F434E7"/>
    <w:rsid w:val="00F43C19"/>
    <w:rsid w:val="00F43CFC"/>
    <w:rsid w:val="00F4483C"/>
    <w:rsid w:val="00F506FF"/>
    <w:rsid w:val="00F51182"/>
    <w:rsid w:val="00F62DCF"/>
    <w:rsid w:val="00F636D3"/>
    <w:rsid w:val="00F63D2E"/>
    <w:rsid w:val="00F6600B"/>
    <w:rsid w:val="00F66323"/>
    <w:rsid w:val="00F6669A"/>
    <w:rsid w:val="00F722F7"/>
    <w:rsid w:val="00F75B28"/>
    <w:rsid w:val="00F82901"/>
    <w:rsid w:val="00F90442"/>
    <w:rsid w:val="00F904AA"/>
    <w:rsid w:val="00F938D1"/>
    <w:rsid w:val="00F946FC"/>
    <w:rsid w:val="00F97E11"/>
    <w:rsid w:val="00FA13D0"/>
    <w:rsid w:val="00FA143F"/>
    <w:rsid w:val="00FA2F3D"/>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dnsciencepub.com/journal/cjfas/author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D565CE"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D565CE"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D565CE"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D565CE"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D565CE"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E25C7"/>
    <w:rsid w:val="001E5EB2"/>
    <w:rsid w:val="001F6F44"/>
    <w:rsid w:val="002F2D34"/>
    <w:rsid w:val="00352A94"/>
    <w:rsid w:val="00355B60"/>
    <w:rsid w:val="004170B0"/>
    <w:rsid w:val="0047065E"/>
    <w:rsid w:val="00576FA8"/>
    <w:rsid w:val="005C10AD"/>
    <w:rsid w:val="005E3692"/>
    <w:rsid w:val="006353EF"/>
    <w:rsid w:val="006F3313"/>
    <w:rsid w:val="00900B46"/>
    <w:rsid w:val="00917904"/>
    <w:rsid w:val="0097270C"/>
    <w:rsid w:val="009E45A3"/>
    <w:rsid w:val="00A37B86"/>
    <w:rsid w:val="00A473A8"/>
    <w:rsid w:val="00C0486B"/>
    <w:rsid w:val="00C7647D"/>
    <w:rsid w:val="00D565CE"/>
    <w:rsid w:val="00DB5CFD"/>
    <w:rsid w:val="00DC7C78"/>
    <w:rsid w:val="00E40202"/>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A4985-F565-4652-8DEE-838D384F7A8A}"/>
</file>

<file path=customXml/itemProps2.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3.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4.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9</TotalTime>
  <Pages>11</Pages>
  <Words>20078</Words>
  <Characters>114449</Characters>
  <Application>Microsoft Office Word</Application>
  <DocSecurity>0</DocSecurity>
  <Lines>953</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Chen, Bill (DFO/MPO)</cp:lastModifiedBy>
  <cp:revision>8</cp:revision>
  <dcterms:created xsi:type="dcterms:W3CDTF">2026-01-26T21:59:00Z</dcterms:created>
  <dcterms:modified xsi:type="dcterms:W3CDTF">2026-01-26T22:46:00Z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