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0.png" ContentType="image/png"/>
  <Override PartName="/word/media/rId24.png" ContentType="image/png"/>
  <Override PartName="/word/media/rId68.png" ContentType="image/png"/>
  <Override PartName="/word/media/rId77.png" ContentType="image/png"/>
  <Override PartName="/word/media/rId92.png" ContentType="image/png"/>
  <Override PartName="/word/media/rId30.png" ContentType="image/png"/>
  <Override PartName="/word/media/rId34.png" ContentType="image/png"/>
  <Override PartName="/word/media/rId53.png" ContentType="image/png"/>
  <Override PartName="/word/media/rId48.png" ContentType="image/png"/>
  <Override PartName="/word/media/rId88.png" ContentType="image/png"/>
  <Override PartName="/word/media/rId73.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r>
        <w:t xml:space="preserve"> </w:t>
      </w:r>
      <w:r>
        <w:t xml:space="preserve">Daniel</w:t>
      </w:r>
      <w:r>
        <w:t xml:space="preserve"> </w:t>
      </w:r>
      <w:r>
        <w:t xml:space="preserve">Gillis,</w:t>
      </w:r>
      <w:r>
        <w:t xml:space="preserve"> </w:t>
      </w:r>
      <w:r>
        <w:t xml:space="preserve">Marina</w:t>
      </w:r>
      <w:r>
        <w:t xml:space="preserve"> </w:t>
      </w:r>
      <w:r>
        <w:t xml:space="preserve">Wright</w:t>
      </w:r>
    </w:p>
    <w:p>
      <w:pPr>
        <w:pStyle w:val="Date"/>
      </w:pPr>
      <w:r>
        <w:t xml:space="preserve">2026-01-29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
    <w:p>
      <w:pPr>
        <w:pStyle w:val="Heading1"/>
      </w:pPr>
      <w:r>
        <w:t xml:space="preserve">Introduction</w:t>
      </w:r>
    </w:p>
    <w:bookmarkStart w:id="20"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when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 various populations’ geographically widespread, anadromous life cycles that spans international boundaries and freshwater and marine ecosystems. While salmon populations and salmon fisheries are regulated federally, water use and watercourse alterations and the corresponding aquatic habitat is managed by the provinces. However, watercourse management is not strictly provincial jurisdiction. The federal government regulates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stewardship. For example, the provincial</w:t>
      </w:r>
      <w:r>
        <w:t xml:space="preserve"> </w:t>
      </w:r>
      <w:r>
        <w:rPr>
          <w:i/>
          <w:iCs/>
        </w:rPr>
        <w:t xml:space="preserve">Forest and Range Practices Act</w:t>
      </w:r>
      <w:r>
        <w:t xml:space="preserve"> </w:t>
      </w:r>
      <w:r>
        <w:t xml:space="preserve">(Government of British Columbia 2002)</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w:t>
      </w:r>
      <w:r>
        <w:t xml:space="preserve"> </w:t>
      </w:r>
      <w:r>
        <w:t xml:space="preserve">(Ulaski et al. 2025)</w:t>
      </w:r>
      <w:r>
        <w:t xml:space="preserve">, and the spread of invasive species.</w:t>
      </w:r>
    </w:p>
    <w:p>
      <w:pPr>
        <w:pStyle w:val="BodyText"/>
      </w:pPr>
      <w:r>
        <w:t xml:space="preserve">Projects that influence environmental factors may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0"/>
    <w:bookmarkStart w:id="21" w:name="X73644377a907dce2b45cf6342b97f459a660bc0"/>
    <w:p>
      <w:pPr>
        <w:pStyle w:val="Heading2"/>
      </w:pPr>
      <w:r>
        <w:t xml:space="preserve">Complexity in addressing Pacific Salmon population declines</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 and</w:t>
      </w:r>
      <w:r>
        <w:t xml:space="preserve"> </w:t>
      </w:r>
      <w:r>
        <w:t xml:space="preserve">the</w:t>
      </w:r>
      <w:r>
        <w:t xml:space="preserve"> </w:t>
      </w:r>
      <w:r>
        <w:rPr>
          <w:i/>
          <w:iCs/>
        </w:rPr>
        <w:t xml:space="preserve">Pacific Salmon Strategy Initiative;</w:t>
      </w:r>
      <w:r>
        <w:t xml:space="preserve"> </w:t>
      </w:r>
      <w:r>
        <w:t xml:space="preserve">DFO (2005)</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population declines in Canada are varied and have been the subject of numerous major studies and reviews over the last few decades (e.g. the</w:t>
      </w:r>
      <w:r>
        <w:t xml:space="preserve"> </w:t>
      </w:r>
      <w:r>
        <w:rPr>
          <w:i/>
          <w:iCs/>
        </w:rPr>
        <w:t xml:space="preserve">Commission of Inquiry into the Decline of Sockeye Salmon in the Fraser River (Canada)</w:t>
      </w:r>
      <w:r>
        <w:t xml:space="preserve"> </w:t>
      </w:r>
      <w:r>
        <w:t xml:space="preserve">(Cohen 2012)</w:t>
      </w:r>
      <w:r>
        <w:t xml:space="preserve">;</w:t>
      </w:r>
      <w:r>
        <w:t xml:space="preserve"> </w:t>
      </w:r>
      <w:r>
        <w:rPr>
          <w:i/>
          <w:iCs/>
        </w:rPr>
        <w:t xml:space="preserve">Report of the Standing Committee on Fisheries and Oceans</w:t>
      </w:r>
      <w:r>
        <w:t xml:space="preserve"> </w:t>
      </w:r>
      <w:r>
        <w:t xml:space="preserve">(McDonald 2021)</w:t>
      </w:r>
      <w:r>
        <w:t xml:space="preserve">; and the</w:t>
      </w:r>
      <w:r>
        <w:t xml:space="preserve"> </w:t>
      </w:r>
      <w:r>
        <w:rPr>
          <w:i/>
          <w:iCs/>
        </w:rPr>
        <w:t xml:space="preserve">State of the Canadian Pacific salmon: response to changing climate and habitats</w:t>
      </w:r>
      <w:r>
        <w:t xml:space="preserve">(Grant et al. 2019)</w:t>
      </w:r>
      <w:r>
        <w:t xml:space="preserve">).</w:t>
      </w:r>
    </w:p>
    <w:p>
      <w:pPr>
        <w:pStyle w:val="BodyText"/>
      </w:pPr>
      <w:r>
        <w:t xml:space="preserve">The wild-origin salmon abundance declines are recognized as a consequence of numerous aspects of human activity, including the loss or degradation of habitat, climate change, hatchery pressures, and harvest</w:t>
      </w:r>
      <w:r>
        <w:t xml:space="preserve"> </w:t>
      </w:r>
      <w:r>
        <w:t xml:space="preserve">(Bisson et al. 2009; Cohen 2012; Grant et al. 2019; and McDonald 2021)</w:t>
      </w:r>
      <w:r>
        <w:t xml:space="preserve">. In response, commercial fisheries have been curtailed in recent decades</w:t>
      </w:r>
      <w:r>
        <w:t xml:space="preserve"> </w:t>
      </w:r>
      <w:r>
        <w:t xml:space="preserve">(Del Valle et al. 2024)</w:t>
      </w:r>
      <w:r>
        <w:t xml:space="preserve"> </w:t>
      </w:r>
      <w:r>
        <w:t xml:space="preserve">as Fisheries and Oceans Canada (DFO) aims to manage fisheries to preserve biodiversity in a manner consistent with the</w:t>
      </w:r>
      <w:r>
        <w:t xml:space="preserve"> </w:t>
      </w:r>
      <w:r>
        <w:rPr>
          <w:i/>
          <w:iCs/>
        </w:rPr>
        <w:t xml:space="preserve">Wild Salmon Policy</w:t>
      </w:r>
      <w:r>
        <w:t xml:space="preserve"> </w:t>
      </w:r>
      <w:r>
        <w:t xml:space="preserve">and the</w:t>
      </w:r>
      <w:r>
        <w:t xml:space="preserve"> </w:t>
      </w:r>
      <w:r>
        <w:t xml:space="preserve">“</w:t>
      </w:r>
      <w:r>
        <w:t xml:space="preserve">precautionary approach</w:t>
      </w:r>
      <w:r>
        <w:t xml:space="preserve">”</w:t>
      </w:r>
      <w:r>
        <w:t xml:space="preserve"> </w:t>
      </w:r>
      <w:r>
        <w:t xml:space="preserve">(DFO 2005)</w:t>
      </w:r>
      <w:r>
        <w:t xml:space="preserve">. Commercial salmon fisheries are one aspect that is directly managed by DFO as legislated under the federal</w:t>
      </w:r>
      <w:r>
        <w:t xml:space="preserve"> </w:t>
      </w:r>
      <w:r>
        <w:rPr>
          <w:i/>
          <w:iCs/>
        </w:rPr>
        <w:t xml:space="preserve">Fisheries Act</w:t>
      </w:r>
      <w:r>
        <w:t xml:space="preserve"> </w:t>
      </w:r>
      <w:r>
        <w:t xml:space="preserve">(Minister of Justice Canada 1985)</w:t>
      </w:r>
      <w:r>
        <w:t xml:space="preserve">, and subsequent regulations, which prescribe how, when, and where fisheries harvest may occur within Canadian waters with less of the jurisdictional ambiguity. Fisheries also result in a quantifiable mortality of salmon, therefore, impacts and targets can be more accurately measured and managed (assuming adequate monitoring information is collected), and can adjust to changing abundances. This ability to cut fisheries harvest in-season, while the other aspects that impact salmon population productivity and habitat capacity remain and continue to compound, creates a situation where harvest cutbacks (and the corresponding negative economic impacts) have little effect on recovering the salmon populations.</w:t>
      </w:r>
    </w:p>
    <w:p>
      <w:pPr>
        <w:pStyle w:val="Compact"/>
        <w:numPr>
          <w:ilvl w:val="0"/>
          <w:numId w:val="1001"/>
        </w:numPr>
      </w:pPr>
      <w:r>
        <w:rPr>
          <w:b/>
          <w:bCs/>
        </w:rPr>
        <w:t xml:space="preserve">Cory - do we need more citations for end of this paragraph? Do you have some?</w:t>
      </w:r>
    </w:p>
    <w:p>
      <w:pPr>
        <w:pStyle w:val="FirstParagraph"/>
      </w:pPr>
      <w:r>
        <w:t xml:space="preserve">Threats to salmon habitat require a much more coordinated, inter-jurisdictional and inter-departmental approach to evaluate and address. Freshwater habitat, including water quantity (discharge and timing) and water quality (temperature, chemistry, and pollution), are impacted by actions and conditions throughout the entire watershed. Impacts from activities are often indirect, requiring monitoring and long-term studies to identify with confidence</w:t>
      </w:r>
      <w:r>
        <w:t xml:space="preserve"> </w:t>
      </w:r>
      <w:r>
        <w:t xml:space="preserve">(Ulaski et al. 2025)</w:t>
      </w:r>
      <w:r>
        <w:t xml:space="preserve">. Local activities, such as forestry, agriculture, and urbanization, act cumulatively and compound with climate changes to degrade salmon watersheds</w:t>
      </w:r>
      <w:r>
        <w:t xml:space="preserve"> </w:t>
      </w:r>
      <w:r>
        <w:t xml:space="preserve">(Moore et al. 2025)</w:t>
      </w:r>
      <w:r>
        <w:t xml:space="preserve"> </w:t>
      </w:r>
      <w:r>
        <w:t xml:space="preserve">such that the regulation of threats to salmon freshwater habitat in British Columbia requires the application of multiple acts and regulations across both federal and provincial jurisdiction, where the impacts from activities and the benefits of mitigation are uncertain and spread out over time and space. For example, terms specific to pollution (effluent, wastewater, deleterious substances, etc.) occur in 18 Canadian federal acts and 22 British Columbian provincial acts, where the implementation of these acts are the responsibility of eight Canadian federal ministries and nine British Columbian provincial ministries</w:t>
      </w:r>
      <w:r>
        <w:t xml:space="preserve"> </w:t>
      </w:r>
      <w:r>
        <w:t xml:space="preserve">(Province of British Columbia 2025; Department of Justice Canada 2026)</w:t>
      </w:r>
      <w:r>
        <w:t xml:space="preserve">.</w:t>
      </w:r>
    </w:p>
    <w:p>
      <w:pPr>
        <w:pStyle w:val="Compact"/>
        <w:numPr>
          <w:ilvl w:val="0"/>
          <w:numId w:val="1002"/>
        </w:numPr>
      </w:pPr>
      <w:r>
        <w:rPr>
          <w:b/>
          <w:bCs/>
        </w:rPr>
        <w:t xml:space="preserve">Marina - I revised the paragraph to hopefully summarize what you’d suggested in your comment. My original paragraph was vague and unfinished. We don’t really mention specific gov’t branches and structures since they can change arbitrarily. Hopefully, this still covers what you were recommending.</w:t>
      </w:r>
    </w:p>
    <w:p>
      <w:pPr>
        <w:pStyle w:val="FirstParagraph"/>
      </w:pPr>
      <w:r>
        <w:t xml:space="preserve">Assessment frameworks have been developed amidst this uncertainty and complexity to evaluate anthropogenic activities and limiting factors for the survival and recovery of Pacific salmon populations</w:t>
      </w:r>
      <w:r>
        <w:t xml:space="preserve"> </w:t>
      </w:r>
      <w:r>
        <w:t xml:space="preserve">(Salafsky et al. 2008; DFO 2021; Chalifour et al. 2022)</w:t>
      </w:r>
      <w:r>
        <w:t xml:space="preserve">. These frameworks are varied in their approaches, but aim to be comprehensive in assessing the wide range of concerns that may impact salmon across their life cycle to inform status assessments, recovery planning, and conservation strategies. One widely used risk assessment framework for Pacific salmon is the International Union for Conservation of Nature (IUCN) and Conservation Measures Partnership (CMP) 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 Committee on the Status of Endangered Wildlife in Canada (COSEWIC</w:t>
      </w:r>
      <w:r>
        <w:rPr>
          <w:b/>
          <w:bCs/>
        </w:rPr>
        <w:t xml:space="preserve">)</w:t>
      </w:r>
      <w:r>
        <w:t xml:space="preserve"> </w:t>
      </w:r>
      <w:r>
        <w:t xml:space="preserve">status assessments</w:t>
      </w:r>
      <w:r>
        <w:t xml:space="preserve"> </w:t>
      </w:r>
      <w:r>
        <w:t xml:space="preserve">(Arbeider et al. 2020; Dionne 2023; Doutaz et al. 2023)</w:t>
      </w:r>
      <w:r>
        <w:t xml:space="preserve">.</w:t>
      </w:r>
    </w:p>
    <w:p>
      <w:pPr>
        <w:pStyle w:val="BodyText"/>
      </w:pPr>
      <w:r>
        <w:t xml:space="preserve">Rebuilding plans have been developed under the</w:t>
      </w:r>
      <w:r>
        <w:t xml:space="preserve"> </w:t>
      </w:r>
      <w:r>
        <w:rPr>
          <w:i/>
          <w:iCs/>
        </w:rPr>
        <w:t xml:space="preserve">Fisheries Act</w:t>
      </w:r>
      <w:r>
        <w:t xml:space="preserve"> </w:t>
      </w:r>
      <w:r>
        <w:t xml:space="preserve">Fish Stock Provisions</w:t>
      </w:r>
      <w:r>
        <w:t xml:space="preserve"> </w:t>
      </w:r>
      <w:r>
        <w:t xml:space="preserve">(DFO 2022a)</w:t>
      </w:r>
      <w:r>
        <w:t xml:space="preserve"> </w:t>
      </w:r>
      <w:r>
        <w:t xml:space="preserve">for a small number of Pacific salmon populations including Okanagan Chinook</w:t>
      </w:r>
      <w:r>
        <w:t xml:space="preserve"> </w:t>
      </w:r>
      <w:r>
        <w:t xml:space="preserve">(DFO 2022b)</w:t>
      </w:r>
      <w:r>
        <w:t xml:space="preserve"> </w:t>
      </w:r>
      <w:r>
        <w:t xml:space="preserve">and West Coast Vancouver Island Chinook</w:t>
      </w:r>
      <w:r>
        <w:t xml:space="preserve"> </w:t>
      </w:r>
      <w:r>
        <w:t xml:space="preserve">(DFO 2025)</w:t>
      </w:r>
      <w:r>
        <w:t xml:space="preserve">. Risk assessments are intended to guide the development of rebuilding plans and mitigation actions with the ultimate aim of reversing declines and improving conservation status, assuming there is agreement upon the most important threats. A key challenge is identifying actions that are impactful and feasible across the wide geographic range and diverse life history of Pacific salmon. In many cases, dispersed authority, regulatory complexities, ambiguous responsibilities, ill-defined standards of management, and unclear conservation objectives across jurisdictions become barriers to effective and timely action.</w:t>
      </w:r>
    </w:p>
    <w:bookmarkEnd w:id="21"/>
    <w:bookmarkStart w:id="22"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including the</w:t>
      </w:r>
      <w:r>
        <w:t xml:space="preserve"> </w:t>
      </w:r>
      <w:r>
        <w:rPr>
          <w:i/>
          <w:iCs/>
        </w:rPr>
        <w:t xml:space="preserve">Wild Salmon Policy</w:t>
      </w:r>
      <w:r>
        <w:t xml:space="preserve"> </w:t>
      </w:r>
      <w:r>
        <w:t xml:space="preserve">(DFO 2005)</w:t>
      </w:r>
      <w:r>
        <w:t xml:space="preserve"> </w:t>
      </w:r>
      <w:r>
        <w:t xml:space="preserve">and the</w:t>
      </w:r>
      <w:r>
        <w:t xml:space="preserve"> </w:t>
      </w:r>
      <w:r>
        <w:rPr>
          <w:i/>
          <w:iCs/>
        </w:rPr>
        <w:t xml:space="preserve">Trilateral declaration on the urgent need to address wild Pacific salmon populations in British Columbia</w:t>
      </w:r>
      <w:r>
        <w:t xml:space="preserve"> </w:t>
      </w:r>
      <w:r>
        <w:t xml:space="preserve">(DFO 2024)</w:t>
      </w:r>
      <w:r>
        <w:t xml:space="preserve">. Coordinated action requires adequate organizational capacity and systems for implementation to ensure that regulatory controls and mitigation activities address underlying threats to salmon and their habitat. However, linking threats and recovery actions to the relevant regulatory systems can be complex because salmon are often affected by multiple threats that each span across agencies and governmental jurisdiction. In this study, we seek to decode the complexity between threats to salmon and corresponding environmental legislation by creating an interface between regulatory language and anthropogenic threat categories.</w:t>
      </w:r>
    </w:p>
    <w:p>
      <w:pPr>
        <w:pStyle w:val="BodyText"/>
      </w:pPr>
      <w:r>
        <w:t xml:space="preserve">Laws formally codify societal values and expectations</w:t>
      </w:r>
      <w:r>
        <w:t xml:space="preserve"> </w:t>
      </w:r>
      <w:r>
        <w:t xml:space="preserve">(Swerdfager and Olive 2023)</w:t>
      </w:r>
      <w:r>
        <w:t xml:space="preserve"> </w:t>
      </w:r>
      <w:r>
        <w:t xml:space="preserve">by governing human activity. Salmon population management administered through legislative authority, therefore, relies on a tertiary system where laws control human activity, which impacts the quantity and quality of salmon habitat, which affects the capacity of the habitat to produce salmon. Because this system of control pivots around human activity, we also focused this study and tools around human activity, employing the hierarchical categorization structure developed by the IUCN-CMP. However, not all aspects of salmon management are specific to threats from human activity. Topics such as restoration, species status, spatial designation (parks), and overall governance administration may not connect to a direct human threat, or may encompass all the threats. In order to capture all these threat and non-threat related categories in our legislation-salmonscape interface, we created a schema of</w:t>
      </w:r>
      <w:r>
        <w:t xml:space="preserve"> </w:t>
      </w:r>
      <w:r>
        <w:t xml:space="preserve">“</w:t>
      </w:r>
      <w:r>
        <w:t xml:space="preserve">management domains</w:t>
      </w:r>
      <w:r>
        <w:t xml:space="preserve">”</w:t>
      </w:r>
      <w:r>
        <w:t xml:space="preserve"> </w:t>
      </w:r>
      <w:r>
        <w:t xml:space="preserve">that we define as</w:t>
      </w:r>
      <w:r>
        <w:t xml:space="preserve"> </w:t>
      </w:r>
      <w:r>
        <w:t xml:space="preserve">“</w:t>
      </w:r>
      <w:r>
        <w:t xml:space="preserve">discrete areas of administrative concern.</w:t>
      </w:r>
      <w:r>
        <w:t xml:space="preserve">”</w:t>
      </w:r>
    </w:p>
    <w:p>
      <w:pPr>
        <w:pStyle w:val="BodyText"/>
      </w:pPr>
      <w:r>
        <w:t xml:space="preserve">We developed and outlined the</w:t>
      </w:r>
      <w:r>
        <w:t xml:space="preserve"> </w:t>
      </w:r>
      <w:r>
        <w:rPr>
          <w:i/>
          <w:iCs/>
        </w:rPr>
        <w:t xml:space="preserve">Legislation Applicable to Pacific Salmon and their Ecosystems</w:t>
      </w:r>
      <w:r>
        <w:t xml:space="preserve"> </w:t>
      </w:r>
      <w:r>
        <w:t xml:space="preserve">(LAPSE) as a process and tool to parse Canadian federal and British Columbian provincial acts and regulations relevant to Pacific salmon, then use keyword phrase relationships to match clauses (paragraphs) to our management domains and corresponding IUCN threat categories. By creating an extensive, open-source, and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22"/>
    <w:bookmarkEnd w:id="23"/>
    <w:bookmarkStart w:id="29" w:name="X0e4b3e83adf7a71edb64b195b106e432211924e"/>
    <w:p>
      <w:pPr>
        <w:pStyle w:val="Heading1"/>
      </w:pPr>
      <w:r>
        <w:t xml:space="preserve">Management domains and the International Union for Conservation of Nature- Conservation Measures Partnership threat categories</w:t>
      </w:r>
    </w:p>
    <w:p>
      <w:pPr>
        <w:pStyle w:val="FirstParagraph"/>
      </w:pPr>
      <w:r>
        <w:t xml:space="preserve">Salafsky et al. (2008)</w:t>
      </w:r>
      <w:r>
        <w:t xml:space="preserve"> </w:t>
      </w:r>
      <w:r>
        <w:t xml:space="preserve">recognized that using a common language and a standard lexicon is essential for conservation science. Threats are a fundamental conservation concept, and can be defined as</w:t>
      </w:r>
      <w:r>
        <w:t xml:space="preserve"> </w:t>
      </w:r>
      <w:r>
        <w:t xml:space="preserve">“</w:t>
      </w:r>
      <w:r>
        <w:t xml:space="preserve">current or future human activities or altered natural phenomena that affect one or more ecosystems or species of interest</w:t>
      </w:r>
      <w:r>
        <w:t xml:space="preserve">”</w:t>
      </w:r>
      <w:r>
        <w:t xml:space="preserve"> </w:t>
      </w:r>
      <w:r>
        <w:t xml:space="preserve">(Salafsky et al. 2024)</w:t>
      </w:r>
      <w:r>
        <w:t xml:space="preserve">. Legislated recovery planning also relies on a description of identified threats</w:t>
      </w:r>
      <w:r>
        <w:t xml:space="preserve"> </w:t>
      </w:r>
      <w:r>
        <w:t xml:space="preserve">(McCune et al. 2013)</w:t>
      </w:r>
      <w:r>
        <w:t xml:space="preserve">. The IUCN and the CMP began developing classifications of direct threats in the early 2000s, which were then compiled and developed further through an iterative process resulting in the</w:t>
      </w:r>
      <w:r>
        <w:t xml:space="preserve"> </w:t>
      </w:r>
      <w:r>
        <w:rPr>
          <w:i/>
          <w:iCs/>
        </w:rPr>
        <w:t xml:space="preserve">IUCN – CMP Direct Threats Classification Version 4.0</w:t>
      </w:r>
      <w:r>
        <w:t xml:space="preserve"> </w:t>
      </w:r>
      <w:r>
        <w:t xml:space="preserve">(Salafsky et al. 2024)</w:t>
      </w:r>
      <w:r>
        <w:t xml:space="preserve"> </w:t>
      </w:r>
      <w:r>
        <w:t xml:space="preserve">used for this exercise. The IUCN Direct Threats Classification uses a hierarchical, exclusive, comprehensive, and expandable structure of three levels similar to the Linnean system of grouping by family, genera, and species</w:t>
      </w:r>
      <w:r>
        <w:t xml:space="preserve"> </w:t>
      </w:r>
      <w:r>
        <w:t xml:space="preserve">(Salafsky et al. 2008)</w:t>
      </w:r>
      <w:r>
        <w:t xml:space="preserve">. First-level categories (Level 1) are the broadest, and are subdivided into second-level categories (Level 2), which are further subdivided into the most specific, third-level categories (Level 3).</w:t>
      </w:r>
    </w:p>
    <w:p>
      <w:pPr>
        <w:pStyle w:val="BodyText"/>
      </w:pPr>
      <w:r>
        <w:t xml:space="preserve">Canadian and British Columbian legislation has been enacted on a sector-by-sector basis, which doesn’t exactly align well with the IUCN-CMP Level 1 categories. The IUCN-CMP Level 2 categories fit well with corresponding management domains and legislative categories; however, could be grouped for simplicity and to be more intuitive (Figure</w:t>
      </w:r>
      <w:r>
        <w:t xml:space="preserve"> </w:t>
      </w:r>
      <w:r>
        <w:t xml:space="preserve">1</w:t>
      </w:r>
      <w:r>
        <w:t xml:space="preserve">). IUCN-CMP Level 3 categories were not used in this assessment.</w:t>
      </w:r>
    </w:p>
    <w:p>
      <w:pPr>
        <w:pStyle w:val="CaptionedFigure"/>
      </w:pPr>
      <w:r>
        <w:drawing>
          <wp:inline>
            <wp:extent cx="5943600" cy="3343275"/>
            <wp:effectExtent b="0" l="0" r="0" t="0"/>
            <wp:docPr descr="Figure 1: Flowchart showing alignment of IUCN Level 2 threat categories with Management Domain in relation to legislation and jurisdiction." title="" id="25" name="Picture"/>
            <a:graphic>
              <a:graphicData uri="http://schemas.openxmlformats.org/drawingml/2006/picture">
                <pic:pic>
                  <pic:nvPicPr>
                    <pic:cNvPr descr="../assets/Management%20Domain%20Flowchart.png" id="26" name="Picture"/>
                    <pic:cNvPicPr>
                      <a:picLocks noChangeArrowheads="1" noChangeAspect="1"/>
                    </pic:cNvPicPr>
                  </pic:nvPicPr>
                  <pic:blipFill>
                    <a:blip r:embed="rId24"/>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27" w:name="fig:fig-flowchart-image"/>
      <w:bookmarkEnd w:id="27"/>
      <w:r>
        <w:t xml:space="preserve">Figure 1: Flowchart showing alignment of IUCN Level 2 threat categories with Management Domain in relation to legislation and jurisdiction.</w:t>
      </w:r>
    </w:p>
    <w:p>
      <w:pPr>
        <w:pStyle w:val="BodyText"/>
      </w:pPr>
      <w:r>
        <w:t xml:space="preserve">Lumping and splitting between IUCN-CMP Levels 1 and 2 categories was required to match threats with legislation (Table</w:t>
      </w:r>
      <w:r>
        <w:t xml:space="preserve"> </w:t>
      </w:r>
      <w:r>
        <w:t xml:space="preserve">1</w:t>
      </w:r>
      <w:r>
        <w:t xml:space="preserve">), which is why the management domain categories were required. For example, aquaculture and hatcheries are important aspects that impact Pacific salmon populations. This topic spans two IUCN-CMP Level 1 categories: 2. Agriculture &amp; Aquaculture and 8. Invasive / Other Problematic Species, Genes &amp; Pathogens, but would be more specifically aligned with the IUCN-CMP Level 2 categories:</w:t>
      </w:r>
      <w:r>
        <w:t xml:space="preserve"> </w:t>
      </w:r>
      <w:r>
        <w:t xml:space="preserve">“</w:t>
      </w:r>
      <w:r>
        <w:t xml:space="preserve">2.4 Marine &amp; Freshwater Aquaculture</w:t>
      </w:r>
      <w:r>
        <w:t xml:space="preserve">”</w:t>
      </w:r>
      <w:r>
        <w:t xml:space="preserve"> </w:t>
      </w:r>
      <w:r>
        <w:t xml:space="preserve">and</w:t>
      </w:r>
      <w:r>
        <w:t xml:space="preserve"> </w:t>
      </w:r>
      <w:r>
        <w:t xml:space="preserve">“</w:t>
      </w:r>
      <w:r>
        <w:t xml:space="preserve">8.3 Introduced Genetic Material.</w:t>
      </w:r>
      <w:r>
        <w:t xml:space="preserve">”</w:t>
      </w:r>
      <w:r>
        <w:t xml:space="preserve"> </w:t>
      </w:r>
      <w:r>
        <w:t xml:space="preserve">For clarity and better alignment, we created a management domain called</w:t>
      </w:r>
      <w:r>
        <w:t xml:space="preserve"> </w:t>
      </w:r>
      <w:r>
        <w:t xml:space="preserve">“</w:t>
      </w:r>
      <w:r>
        <w:t xml:space="preserve">Aquaculture and Hatcheries.</w:t>
      </w:r>
      <w:r>
        <w:t xml:space="preserve">”</w:t>
      </w:r>
      <w:r>
        <w:t xml:space="preserve"> </w:t>
      </w:r>
      <w:r>
        <w:t xml:space="preserve">A similar misalignment occurs when assessing the provincial</w:t>
      </w:r>
      <w:r>
        <w:t xml:space="preserve"> </w:t>
      </w:r>
      <w:r>
        <w:t xml:space="preserve">“</w:t>
      </w:r>
      <w:r>
        <w:rPr>
          <w:i/>
          <w:iCs/>
        </w:rPr>
        <w:t xml:space="preserve">Forest And Range Practices Act</w:t>
      </w:r>
      <w:r>
        <w:t xml:space="preserve">.</w:t>
      </w:r>
      <w:r>
        <w:t xml:space="preserve">”</w:t>
      </w:r>
      <w:r>
        <w:t xml:space="preserve"> </w:t>
      </w:r>
      <w:r>
        <w:t xml:space="preserve">Since the management domain categories were derived as close as possible to the IUCN-CMP threat categories (a mix of Level 1 and Level 2), most can be viewed as equivalent.</w:t>
      </w:r>
    </w:p>
    <w:p>
      <w:pPr>
        <w:pStyle w:val="TableCaption"/>
      </w:pPr>
      <w:bookmarkStart w:id="28" w:name="tab:management-domain-threat-table"/>
      <w:bookmarkEnd w:id="28"/>
      <w:r>
        <w:t xml:space="preserve">Table 1:</w:t>
      </w:r>
      <w:r>
        <w:t xml:space="preserve"> </w:t>
      </w:r>
      <w:r>
        <w:t xml:space="preserve">Management domains and corresponding IUCN threat categories.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92"/>
        <w:gridCol w:w="3600"/>
        <w:gridCol w:w="331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 Level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 Level 1</w:t>
            </w:r>
          </w:p>
        </w:tc>
      </w:tr>
      <w:tr>
        <w:trPr>
          <w:trHeight w:val="360" w:hRule="auto"/>
        </w:trPr>
        body 1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Annual &amp; Perennial Non-Timber Crops</w:t>
            </w:r>
          </w:p>
        </w:tc>
        <w:tc>
          <w:tcPr>
            <w:vMerge w:val="restart"/>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Agriculture &amp; Aquaculture</w:t>
            </w:r>
          </w:p>
        </w:tc>
      </w:tr>
      <w:tr>
        <w:trPr>
          <w:trHeight w:val="360" w:hRule="auto"/>
        </w:trPr>
        body 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 Marine &amp; Freshwater Aquaculture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 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 Introduced Genetic Material</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Invasive / Other Problematic Species, Genes &amp; Pathogens</w:t>
            </w:r>
          </w:p>
        </w:tc>
      </w:tr>
      <w:tr>
        <w:trPr>
          <w:trHeight w:val="360" w:hRule="auto"/>
        </w:trPr>
        body 4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 Geological Events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Natural Disasters</w:t>
            </w:r>
          </w:p>
        </w:tc>
      </w:tr>
      <w:tr>
        <w:trPr>
          <w:trHeight w:val="360" w:hRule="auto"/>
        </w:trPr>
        body 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 Changes in Temperature Regimes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Climate Change</w:t>
            </w:r>
          </w:p>
        </w:tc>
      </w:tr>
      <w:tr>
        <w:trPr>
          <w:trHeight w:val="360" w:hRule="auto"/>
        </w:trPr>
        body 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Changes in Precipitation &amp; Hydrological Regimes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 7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 Fishing, Harvesting &amp; Controlling Aquatic Species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Biological Resource Use &amp; Control</w:t>
            </w:r>
          </w:p>
        </w:tc>
      </w:tr>
      <w:tr>
        <w:trPr>
          <w:trHeight w:val="360" w:hRule="auto"/>
        </w:trPr>
        body 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Wood &amp; Pulp Plantations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Agriculture &amp; Aquaculture</w:t>
            </w:r>
          </w:p>
        </w:tc>
      </w:tr>
      <w:tr>
        <w:trPr>
          <w:trHeight w:val="360" w:hRule="auto"/>
        </w:trPr>
        body 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Terrestrial Animal Farming, Ranching &amp; Herding</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body10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 Logging, Harvesting &amp; Controlling Trees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Biological Resource Use &amp; Control</w:t>
            </w:r>
          </w:p>
        </w:tc>
      </w:tr>
      <w:tr>
        <w:trPr>
          <w:trHeight w:val="360" w:hRule="auto"/>
        </w:trPr>
        body11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 Other Human Disturbances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Human Intrusions &amp; Disturbances</w:t>
            </w:r>
          </w:p>
        </w:tc>
      </w:tr>
      <w:tr>
        <w:trPr>
          <w:trHeight w:val="360" w:hRule="auto"/>
        </w:trPr>
        body12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 Invasive Non-Native / Alien Species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Invasive / Other Problematic Species, Genes &amp; Pathogens</w:t>
            </w:r>
          </w:p>
        </w:tc>
      </w:tr>
      <w:tr>
        <w:trPr>
          <w:trHeight w:val="360" w:hRule="auto"/>
        </w:trPr>
        body13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 Problematic Native Species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 Pathogens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body15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 Oil &amp; Gas Exploration &amp; Extraction</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Energy Production &amp; Mining</w:t>
            </w:r>
          </w:p>
        </w:tc>
      </w:tr>
      <w:tr>
        <w:trPr>
          <w:trHeight w:val="360" w:hRule="auto"/>
        </w:trPr>
        body16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Mining &amp; Quarrying</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body17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 Renewable Energy</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 Water-Borne &amp; Other Effluent Pollution</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Pollution</w:t>
            </w:r>
          </w:p>
        </w:tc>
      </w:tr>
      <w:tr>
        <w:trPr>
          <w:trHeight w:val="360" w:hRule="auto"/>
        </w:trPr>
        body19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 Garbage &amp; Solid Waste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body20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 Roads, Trails &amp; Railroads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Transportation, Service &amp; Security Corridors</w:t>
            </w:r>
          </w:p>
        </w:tc>
      </w:tr>
      <w:tr>
        <w:trPr>
          <w:trHeight w:val="360" w:hRule="auto"/>
        </w:trPr>
        body21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Utility &amp; Service Lines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body22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 Shipping Lanes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body23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Residential Areas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Residential, Commercial &amp; Recreation Areas</w:t>
            </w:r>
          </w:p>
        </w:tc>
      </w:tr>
      <w:tr>
        <w:trPr>
          <w:trHeight w:val="360" w:hRule="auto"/>
        </w:trPr>
        body24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 Dams &amp; Water Management / Use</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Natural System Management &amp; Modifications</w:t>
            </w:r>
          </w:p>
        </w:tc>
      </w:tr>
      <w:tr>
        <w:trPr>
          <w:trHeight w:val="360" w:hRule="auto"/>
        </w:trPr>
        body25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 Earth &amp; Sediment Management</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 Biological System Management</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body27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r>
      <w:tr>
        <w:trPr>
          <w:trHeight w:val="360" w:hRule="auto"/>
        </w:trPr>
        body28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body29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bl>
    <w:bookmarkEnd w:id="29"/>
    <w:bookmarkStart w:id="47" w:name="X25cb83c7e66e5d117ad3fc9de6fd64368fb47a3"/>
    <w:p>
      <w:pPr>
        <w:pStyle w:val="Heading1"/>
      </w:pPr>
      <w:r>
        <w:t xml:space="preserve">Parsing legislation: 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1) accumulate and review legislation (CanLii); 2) parse legislation by clause (paragraph), section, and heading; 3) match management domain and IUCN-CMP threat keywords to clauses; 4) assign salmon-specific scope categories; 5) match clause type keywords to clauses.</w:t>
      </w:r>
    </w:p>
    <w:bookmarkStart w:id="39" w:name="legislation-accumulation-and-review"/>
    <w:p>
      <w:pPr>
        <w:pStyle w:val="Heading2"/>
      </w:pPr>
      <w:r>
        <w:t xml:space="preserve">Legislation accumulation and review</w:t>
      </w:r>
    </w:p>
    <w:p>
      <w:pPr>
        <w:pStyle w:val="FirstParagraph"/>
      </w:pPr>
      <w:r>
        <w:t xml:space="preserve">Administrative concerns specific to natural resource stewardship are also often split between ministries at the federal and provincial level, which can further decentralize responsibility. Figures</w:t>
      </w:r>
      <w:r>
        <w:t xml:space="preserve"> </w:t>
      </w:r>
      <w:r>
        <w:t xml:space="preserve">2</w:t>
      </w:r>
      <w:r>
        <w:t xml:space="preserve"> </w:t>
      </w:r>
      <w:r>
        <w:t xml:space="preserve">and</w:t>
      </w:r>
      <w:r>
        <w:t xml:space="preserve"> </w:t>
      </w:r>
      <w:r>
        <w:t xml:space="preserve">3</w:t>
      </w:r>
      <w:r>
        <w:t xml:space="preserve"> </w:t>
      </w:r>
      <w:r>
        <w:t xml:space="preserve">show a compilation of federal and provincial acts relevant to Pacific salmon stewardship with assigned ministries. Relevant acts were compiled through a step-wise keyword search process using the Canadian Legal Information Institute (CanLII) website</w:t>
      </w:r>
      <w:r>
        <w:t xml:space="preserve"> </w:t>
      </w:r>
      <w:r>
        <w:t xml:space="preserve">(Canadian Legal Information Institute 2025)</w:t>
      </w:r>
      <w:r>
        <w:t xml:space="preserve">. The ministries were referenced from the federal</w:t>
      </w:r>
      <w:r>
        <w:t xml:space="preserve"> </w:t>
      </w:r>
      <w:r>
        <w:rPr>
          <w:i/>
          <w:iCs/>
        </w:rPr>
        <w:t xml:space="preserve">Table of Public Statutes and Responsible Ministers</w:t>
      </w:r>
      <w:r>
        <w:t xml:space="preserve"> </w:t>
      </w:r>
      <w:r>
        <w:t xml:space="preserve">(Department of Justice Canada 2026)</w:t>
      </w:r>
      <w:r>
        <w:t xml:space="preserve"> </w:t>
      </w:r>
      <w:r>
        <w:t xml:space="preserve">and the British Columbian provincial</w:t>
      </w:r>
      <w:r>
        <w:t xml:space="preserve"> </w:t>
      </w:r>
      <w:r>
        <w:rPr>
          <w:i/>
          <w:iCs/>
        </w:rPr>
        <w:t xml:space="preserve">Acts - Minsters’ Responsibilities</w:t>
      </w:r>
      <w:r>
        <w:t xml:space="preserve"> </w:t>
      </w:r>
      <w:r>
        <w:t xml:space="preserve">(Province of British Columbia 2025)</w:t>
      </w:r>
      <w:r>
        <w:rPr>
          <w:i/>
          <w:iCs/>
        </w:rPr>
        <w:t xml:space="preserve">.</w:t>
      </w:r>
      <w:r>
        <w:t xml:space="preserve"> </w:t>
      </w:r>
      <w:r>
        <w:t xml:space="preserve">The ministry and minister names shown may not necessarily represent the current cabinet names, which can be changed arbitrarily by the government of the day. The table represents the minister and ministry names as they are stated in the legislation and corresponding minister responsibility tables, which are less prone to short-term changes.</w:t>
      </w:r>
    </w:p>
    <w:p>
      <w:pPr>
        <w:pStyle w:val="CaptionedFigure"/>
      </w:pPr>
      <w:r>
        <w:drawing>
          <wp:inline>
            <wp:extent cx="5943600" cy="5094514"/>
            <wp:effectExtent b="0" l="0" r="0" t="0"/>
            <wp:docPr descr="Figure 2: List of Canadian federal acts relevant to Pacific salmon and habitat governance with assigned ministries." title="" id="31" name="Picture"/>
            <a:graphic>
              <a:graphicData uri="http://schemas.openxmlformats.org/drawingml/2006/picture">
                <pic:pic>
                  <pic:nvPicPr>
                    <pic:cNvPr descr="LAPSE_primary_publication_files/figure-docx/fig-sankey-federal-1.png" id="32" name="Picture"/>
                    <pic:cNvPicPr>
                      <a:picLocks noChangeArrowheads="1" noChangeAspect="1"/>
                    </pic:cNvPicPr>
                  </pic:nvPicPr>
                  <pic:blipFill>
                    <a:blip r:embed="rId30"/>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3" w:name="fig:fig-sankey-federal"/>
      <w:bookmarkEnd w:id="33"/>
      <w:r>
        <w:t xml:space="preserve">Figure 2: List of Canadian federal acts relevant to Pacific salmon and habitat governance with assigned ministries.</w:t>
      </w:r>
    </w:p>
    <w:p>
      <w:pPr>
        <w:pStyle w:val="CaptionedFigure"/>
      </w:pPr>
      <w:r>
        <w:drawing>
          <wp:inline>
            <wp:extent cx="5943600" cy="5094514"/>
            <wp:effectExtent b="0" l="0" r="0" t="0"/>
            <wp:docPr descr="Figure 3: List of British Columbian provincial acts relevant to Pacific salmon and habitat governance with assigned ministries." title="" id="35" name="Picture"/>
            <a:graphic>
              <a:graphicData uri="http://schemas.openxmlformats.org/drawingml/2006/picture">
                <pic:pic>
                  <pic:nvPicPr>
                    <pic:cNvPr descr="LAPSE_primary_publication_files/figure-docx/fig-sankey-provincial-1.png" id="36" name="Picture"/>
                    <pic:cNvPicPr>
                      <a:picLocks noChangeArrowheads="1" noChangeAspect="1"/>
                    </pic:cNvPicPr>
                  </pic:nvPicPr>
                  <pic:blipFill>
                    <a:blip r:embed="rId34"/>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7" w:name="fig:fig-sankey-provincial"/>
      <w:bookmarkEnd w:id="37"/>
      <w:r>
        <w:t xml:space="preserve">Figure 3: List of British Columbian provincial acts relevant to Pacific salmon and habitat governance with assigned ministries.</w:t>
      </w:r>
    </w:p>
    <w:p>
      <w:pPr>
        <w:pStyle w:val="BodyText"/>
      </w:pPr>
      <w:r>
        <w:t xml:space="preserve">We accumulated Canadian federal and British Columbian provincial legislation according to their relevance to Pacific salmon and habitat stewardship. For this study, the term legislation (or statutes)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is a better indicator of a jurisdiction’s long-term commitment to natural resource stewardship</w:t>
      </w:r>
      <w:r>
        <w:t xml:space="preserve"> </w:t>
      </w:r>
      <w:r>
        <w:t xml:space="preserve">(Bogetti and Mason 2025)</w:t>
      </w:r>
      <w:r>
        <w:t xml:space="preserve"> </w:t>
      </w:r>
      <w:r>
        <w:t xml:space="preserve">than policies because policies are more prone to changes in the political, administrative, and budgetary landscape, while legislation is subject to due process or a parliamentary vote. Specific departmental policy frameworks and processes were not assessed within this exercise. This study also does not verify the implementation or enforcement in practice of the accumulated statutes by the responsible officials. The accumulated legislation is simply shown as it is written.</w:t>
      </w:r>
    </w:p>
    <w:p>
      <w:pPr>
        <w:pStyle w:val="BodyText"/>
      </w:pPr>
      <w:r>
        <w:t xml:space="preserve">Indigenous legislation, Yukon Territorial legislation, municipal bylaws, and international conventions were also not included explicitly. Although this other legislation is pivotal in the stewardship of Pacific salmon, this regionally diverse administration was outside the scope of this legislative review in terms of feasibility and timelines. However, some of these other conventions may overlap with federal or provincial legislation in their governance. For example, the provincial</w:t>
      </w:r>
      <w:r>
        <w:t xml:space="preserve"> </w:t>
      </w:r>
      <w:r>
        <w:rPr>
          <w:i/>
          <w:iCs/>
        </w:rPr>
        <w:t xml:space="preserve">Spheres of Concurrent Jurisdiction — Environment and Wildlife Regulation</w:t>
      </w:r>
      <w:r>
        <w:t xml:space="preserve"> </w:t>
      </w:r>
      <w:r>
        <w:t xml:space="preserve">under the</w:t>
      </w:r>
      <w:r>
        <w:t xml:space="preserve"> </w:t>
      </w:r>
      <w:r>
        <w:rPr>
          <w:i/>
          <w:iCs/>
        </w:rPr>
        <w:t xml:space="preserve">Community Charter</w:t>
      </w:r>
      <w:r>
        <w:t xml:space="preserve"> </w:t>
      </w:r>
      <w:r>
        <w:t xml:space="preserve">references municipal jurisdiction in relation to the environment and wildlife.</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salmon-specific terms (salmon, Chinook, sockeye, etc.). Often, popular language and phrasing used by practitioners may not appear in legal language due to the age and generality of the documents. In order to capture salmon-specific language that actually occurs in the legal language, we extracted other adjacent keywords and phrases from the salmon-specific legislation using a word frequency analysis with the</w:t>
      </w:r>
      <w:r>
        <w:t xml:space="preserve"> </w:t>
      </w:r>
      <w:r>
        <w:t xml:space="preserve">“</w:t>
      </w:r>
      <w:r>
        <w:t xml:space="preserve">udpipe</w:t>
      </w:r>
      <w:r>
        <w:t xml:space="preserve">”</w:t>
      </w:r>
      <w:r>
        <w:t xml:space="preserve"> </w:t>
      </w:r>
      <w:r>
        <w:t xml:space="preserve">R package</w:t>
      </w:r>
      <w:r>
        <w:t xml:space="preserve"> </w:t>
      </w:r>
      <w:r>
        <w:t xml:space="preserve">(Wijffels 2025)</w:t>
      </w:r>
      <w:r>
        <w:t xml:space="preserve">. A list of extracted adjacent keywords and phrases were combined with the IUCN threat description wordings, which were then queried in CanLII. The user may quickly view each individual keyword within the chosen statute through the CanLII website. This allows the user to assess the context of the word in the legislation and determine if the section might be relevant to Pacific salmon. Legislation was filtered by region (excluding provinces other than BC), and the statutes’ HTML files were downloaded directly from government websites. The number of statutes collected for inclusion in this study is shown in Table</w:t>
      </w:r>
      <w:r>
        <w:t xml:space="preserve"> </w:t>
      </w:r>
      <w:r>
        <w:t xml:space="preserve">2</w:t>
      </w:r>
      <w:r>
        <w:t xml:space="preserve">.</w:t>
      </w:r>
    </w:p>
    <w:p>
      <w:pPr>
        <w:pStyle w:val="TableCaption"/>
      </w:pPr>
      <w:bookmarkStart w:id="38" w:name="tab:legislation-summary-table"/>
      <w:bookmarkEnd w:id="38"/>
      <w:r>
        <w:t xml:space="preserve">Table 2:</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bookmarkEnd w:id="39"/>
    <w:bookmarkStart w:id="44" w:name="legistics"/>
    <w:p>
      <w:pPr>
        <w:pStyle w:val="Heading2"/>
      </w:pPr>
      <w:r>
        <w:t xml:space="preserve">Legistics</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topic.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Example of HTML code paragraph parsing structure for Section 29 of the Canadian federal Fisheries Act." title="" id="41" name="Picture"/>
            <a:graphic>
              <a:graphicData uri="http://schemas.openxmlformats.org/drawingml/2006/picture">
                <pic:pic>
                  <pic:nvPicPr>
                    <pic:cNvPr descr="../assets/Legistics%20Paragraphing.png" id="42" name="Picture"/>
                    <pic:cNvPicPr>
                      <a:picLocks noChangeArrowheads="1" noChangeAspect="1"/>
                    </pic:cNvPicPr>
                  </pic:nvPicPr>
                  <pic:blipFill>
                    <a:blip r:embed="rId40"/>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3" w:name="fig:fig-legistics-paragraphing"/>
      <w:bookmarkEnd w:id="43"/>
      <w:r>
        <w:t xml:space="preserve">Figure 4:</w:t>
      </w:r>
      <w:r>
        <w:t xml:space="preserve"> </w:t>
      </w:r>
      <w:r>
        <w:t xml:space="preserve">Example of HTML code paragraph parsing structure for Section 29 of the Canadian federal</w:t>
      </w:r>
      <w:r>
        <w:t xml:space="preserve"> </w:t>
      </w:r>
      <w:r>
        <w:rPr>
          <w:i/>
          <w:iCs/>
        </w:rPr>
        <w:t xml:space="preserve">Fisheries Act</w:t>
      </w:r>
      <w:r>
        <w:rPr>
          <w:i/>
          <w:iCs/>
        </w:rPr>
        <w:t xml:space="preserv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w:t>
      </w:r>
      <w:r>
        <w:t xml:space="preserve"> </w:t>
      </w:r>
      <w:r>
        <w:t xml:space="preserve">(Wickham 2025)</w:t>
      </w:r>
      <w:r>
        <w:t xml:space="preserve">, extracting the text of each clause, then grouping by section and heading.</w:t>
      </w:r>
    </w:p>
    <w:bookmarkEnd w:id="44"/>
    <w:bookmarkStart w:id="45" w:name="the-lapse-process-and-tool-development"/>
    <w:p>
      <w:pPr>
        <w:pStyle w:val="Heading2"/>
      </w:pPr>
      <w:r>
        <w:t xml:space="preserve">The LAPSE process and tool development</w:t>
      </w:r>
    </w:p>
    <w:p>
      <w:pPr>
        <w:pStyle w:val="FirstParagraph"/>
      </w:pPr>
      <w:r>
        <w:t xml:space="preserve">The parsed legislation was stored in a SQLite database with datatables including jurisdiction, act name, legislation name, legislation type, paragraph content, section, heading, management domain, IUCN-CMP threat category, scope, and keywords matched. Storing the data as a database rather than one large spreadsheet allowed for a more dynamic and versatile system for querying, while streamlining the parsing and collection process.</w:t>
      </w:r>
    </w:p>
    <w:bookmarkEnd w:id="45"/>
    <w:bookmarkStart w:id="46" w:name="keyword-and-keyphrase-development"/>
    <w:p>
      <w:pPr>
        <w:pStyle w:val="Heading2"/>
      </w:pPr>
      <w:r>
        <w:t xml:space="preserve">Keyword and keyphrase development</w:t>
      </w:r>
    </w:p>
    <w:p>
      <w:pPr>
        <w:pStyle w:val="FirstParagraph"/>
      </w:pPr>
      <w:r>
        <w:t xml:space="preserve">The management domain and IUCN-CMP threat matching process pivoted around an established list of keywords and phrases relevant to Pacific salmon stewardship. Keywords act as the language link between categorization and the legislative clauses. Keywords must be specific enough to match an IUCN-CMP threat, yet general enough to appear in multiple acts and regulations that span many decades of legal language. 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w:t>
      </w:r>
    </w:p>
    <w:p>
      <w:pPr>
        <w:pStyle w:val="BodyText"/>
      </w:pPr>
      <w:r>
        <w:t xml:space="preserve">The keyword and keyphrase development process required an iterative researcher revision step because of the varied context of language. While the words used in the IUCN-CMP threat definitions may be specific to those threats, they may not be relevant to salmon stewardship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IUCN-CMP threat examples for</w:t>
      </w:r>
      <w:r>
        <w:t xml:space="preserve"> </w:t>
      </w:r>
      <w:r>
        <w:t xml:space="preserve">“</w:t>
      </w:r>
      <w:r>
        <w:t xml:space="preserve">1.2 Commercial &amp; Industrial Areas,</w:t>
      </w:r>
      <w:r>
        <w:t xml:space="preserve">”</w:t>
      </w:r>
      <w:r>
        <w:t xml:space="preserve"> </w:t>
      </w:r>
      <w:r>
        <w:t xml:space="preserve">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proximal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stewardship in British Columbia, yet that word doesn’t appear in the IUCN-CMP threat examples or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pStyle w:val="BodyText"/>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stewardship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bookmarkEnd w:id="46"/>
    <w:bookmarkEnd w:id="47"/>
    <w:bookmarkStart w:id="66" w:name="results"/>
    <w:p>
      <w:pPr>
        <w:pStyle w:val="Heading1"/>
      </w:pPr>
      <w:r>
        <w:t xml:space="preserve">Results</w:t>
      </w:r>
    </w:p>
    <w:bookmarkStart w:id="52" w:name="management-domains"/>
    <w:p>
      <w:pPr>
        <w:pStyle w:val="Heading2"/>
      </w:pPr>
      <w:r>
        <w:t xml:space="preserve">Management domains</w:t>
      </w:r>
    </w:p>
    <w:p>
      <w:pPr>
        <w:pStyle w:val="FirstParagraph"/>
      </w:pPr>
      <w:r>
        <w:t xml:space="preserve">While the number of statutes, sections, or clauses is not a measure of the quality or effectiveness of the legislation</w:t>
      </w:r>
      <w:r>
        <w:t xml:space="preserve"> </w:t>
      </w:r>
      <w:r>
        <w:t xml:space="preserve">(Ray et al. 2021)</w:t>
      </w:r>
      <w:r>
        <w:t xml:space="preserve">, the LAPSE process and tool can be used by practitioners to view the existing acts, regulations, orders, and codes when considering actions or proposals. 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(specifically, 6.3 Other Human Disturbances, as in species research 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aptionedFigure"/>
      </w:pPr>
      <w:r>
        <w:drawing>
          <wp:inline>
            <wp:extent cx="5943600" cy="4457699"/>
            <wp:effectExtent b="0" l="0" r="0" t="0"/>
            <wp:docPr descr="Figure 5: Count of sections matched by management domain, stacked by jurisdiction." title="" id="49" name="Picture"/>
            <a:graphic>
              <a:graphicData uri="http://schemas.openxmlformats.org/drawingml/2006/picture">
                <pic:pic>
                  <pic:nvPicPr>
                    <pic:cNvPr descr="LAPSE_primary_publication_files/figure-docx/section-count-by-management-domain-1.png" id="50" name="Picture"/>
                    <pic:cNvPicPr>
                      <a:picLocks noChangeArrowheads="1" noChangeAspect="1"/>
                    </pic:cNvPicPr>
                  </pic:nvPicPr>
                  <pic:blipFill>
                    <a:blip r:embed="rId48"/>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1" w:name="fig:section-count-by-management-domain"/>
      <w:bookmarkEnd w:id="51"/>
      <w:r>
        <w:t xml:space="preserve">Figure 5: Count of sections matched by management domain, stacked by jurisdiction.</w:t>
      </w:r>
    </w:p>
    <w:bookmarkEnd w:id="52"/>
    <w:bookmarkStart w:id="57" w:name="iucn-cmp-level-2-threats"/>
    <w:p>
      <w:pPr>
        <w:pStyle w:val="Heading2"/>
      </w:pPr>
      <w:r>
        <w:t xml:space="preserve">IUCN-CMP Level 2 threats</w:t>
      </w:r>
    </w:p>
    <w:p>
      <w:pPr>
        <w:pStyle w:val="FirstParagraph"/>
      </w:pPr>
      <w:r>
        <w:t xml:space="preserve">IUCN-CMP Level 2 categories are more specific, and the categorization process matched to 25 categories (Figure</w:t>
      </w:r>
      <w:r>
        <w:t xml:space="preserve"> </w:t>
      </w:r>
      <w:r>
        <w:t xml:space="preserve">6</w:t>
      </w:r>
      <w:r>
        <w:t xml:space="preserve">) that parallel the management domain categories. Multiple IUCN-CMP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IUCN-CMP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CMP threat category, separated by jurisdiction." title="" id="54" name="Picture"/>
            <a:graphic>
              <a:graphicData uri="http://schemas.openxmlformats.org/drawingml/2006/picture">
                <pic:pic>
                  <pic:nvPicPr>
                    <pic:cNvPr descr="LAPSE_primary_publication_files/figure-docx/fig-section-count-by-iucn-1.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6" w:name="fig:fig-section-count-by-iucn"/>
      <w:bookmarkEnd w:id="56"/>
      <w:r>
        <w:t xml:space="preserve">Figure 6: Section counts by IUCN-CMP threat category, separated by jurisdiction.</w:t>
      </w:r>
    </w:p>
    <w:bookmarkEnd w:id="57"/>
    <w:bookmarkStart w:id="63" w:name="salmon-specific-scope"/>
    <w:p>
      <w:pPr>
        <w:pStyle w:val="Heading2"/>
      </w:pPr>
      <w:r>
        <w:t xml:space="preserve">Salmon-specific scope</w:t>
      </w:r>
    </w:p>
    <w:p>
      <w:pPr>
        <w:pStyle w:val="FirstParagraph"/>
      </w:pPr>
      <w:r>
        <w:t xml:space="preserve">Regulatory language that can be matched to management domain and IUCN-CMP threat categories is not inherently relevant to Pacific salmon. However, clauses fall within a relevance spectrum. For example, a clause that states catch limits for Chinook salmon would be much more specific to salmon stewardship than a clause that states that a minister shall include ecological integrity objectives in a park management plan. Both clauses influence salmon governance and stewardship,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keywords and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BodyText"/>
      </w:pPr>
      <w:r>
        <w:t xml:space="preserve">The scope assignment process was linked, but occurred independent of the management domain and IUCN-CMP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IUCN-CMP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IUCN-CMP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58" w:name="tab:scope-tally"/>
      <w:bookmarkEnd w:id="58"/>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9,192</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7,083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28,667</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7</w:t>
      </w:r>
      <w:r>
        <w:t xml:space="preserve">, specifically, the</w:t>
      </w:r>
      <w:r>
        <w:t xml:space="preserve"> </w:t>
      </w:r>
      <w:r>
        <w:rPr>
          <w:i/>
          <w:iCs/>
        </w:rPr>
        <w:t xml:space="preserve">British Columbia Sport Fishing Regulations, 1996</w:t>
      </w:r>
      <w:r>
        <w:t xml:space="preserve">;</w:t>
      </w:r>
      <w:r>
        <w:t xml:space="preserve"> </w:t>
      </w:r>
      <w:r>
        <w:rPr>
          <w:i/>
          <w:iCs/>
        </w:rPr>
        <w:t xml:space="preserve">National Parks of Canada Fishing Regulations</w:t>
      </w:r>
      <w:r>
        <w:t xml:space="preserve">; and</w:t>
      </w:r>
      <w:r>
        <w:t xml:space="preserve"> </w:t>
      </w:r>
      <w:r>
        <w:rPr>
          <w:i/>
          <w:iCs/>
        </w:rPr>
        <w:t xml:space="preserve">Pacific Fishery Regulations 1993</w:t>
      </w:r>
      <w:r>
        <w:t xml:space="preserve">. The federal</w:t>
      </w:r>
      <w:r>
        <w:t xml:space="preserve"> </w:t>
      </w:r>
      <w:r>
        <w:rPr>
          <w:i/>
          <w:iCs/>
        </w:rPr>
        <w:t xml:space="preserve">Fisheries Act</w:t>
      </w:r>
      <w:r>
        <w:t xml:space="preserve"> </w:t>
      </w:r>
      <w:r>
        <w:t xml:space="preserve">does not use the word</w:t>
      </w:r>
      <w:r>
        <w:t xml:space="preserve"> </w:t>
      </w:r>
      <w:r>
        <w:t xml:space="preserve">“</w:t>
      </w:r>
      <w:r>
        <w:t xml:space="preserve">salmon</w:t>
      </w:r>
      <w:r>
        <w:t xml:space="preserve">”</w:t>
      </w:r>
      <w:r>
        <w:t xml:space="preserve"> </w:t>
      </w:r>
      <w:r>
        <w:t xml:space="preserve">or any salmon-specific keywords at all, only the regulations made under the</w:t>
      </w:r>
      <w:r>
        <w:t xml:space="preserve"> </w:t>
      </w:r>
      <w:r>
        <w:rPr>
          <w:i/>
          <w:iCs/>
        </w:rPr>
        <w:t xml:space="preserve">Fisheries Act</w:t>
      </w:r>
      <w:r>
        <w:t xml:space="preserve">.</w:t>
      </w:r>
    </w:p>
    <w:p>
      <w:pPr>
        <w:pStyle w:val="CaptionedFigure"/>
      </w:pPr>
      <w:r>
        <w:drawing>
          <wp:inline>
            <wp:extent cx="5943600" cy="4457699"/>
            <wp:effectExtent b="0" l="0" r="0" t="0"/>
            <wp:docPr descr="Figure 7: Count of sections by legislation for scope category ‘1 - Salmon’, coloured by jurisdiction." title="" id="60" name="Picture"/>
            <a:graphic>
              <a:graphicData uri="http://schemas.openxmlformats.org/drawingml/2006/picture">
                <pic:pic>
                  <pic:nvPicPr>
                    <pic:cNvPr descr="LAPSE_primary_publication_files/figure-docx/section-count-salmon-scope-1.png" id="61" name="Picture"/>
                    <pic:cNvPicPr>
                      <a:picLocks noChangeArrowheads="1" noChangeAspect="1"/>
                    </pic:cNvPicPr>
                  </pic:nvPicPr>
                  <pic:blipFill>
                    <a:blip r:embed="rId59"/>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2" w:name="fig:section-count-salmon-scope"/>
      <w:bookmarkEnd w:id="62"/>
      <w:r>
        <w:t xml:space="preserve">Figure 7: Count of sections by legislation for scope category</w:t>
      </w:r>
      <w:r>
        <w:t xml:space="preserve"> </w:t>
      </w:r>
      <w:r>
        <w:t xml:space="preserve">‘</w:t>
      </w:r>
      <w:r>
        <w:t xml:space="preserve">1 - Salmon</w:t>
      </w:r>
      <w:r>
        <w:t xml:space="preserve">’</w:t>
      </w:r>
      <w:r>
        <w:t xml:space="preserve">, coloured by jurisdiction.</w:t>
      </w:r>
    </w:p>
    <w:bookmarkEnd w:id="63"/>
    <w:bookmarkStart w:id="65" w:name="clause-types-as-legislative-factors"/>
    <w:p>
      <w:pPr>
        <w:pStyle w:val="Heading2"/>
      </w:pPr>
      <w:r>
        <w:t xml:space="preserve">Clause types as legislative factors</w:t>
      </w:r>
    </w:p>
    <w:p>
      <w:pPr>
        <w:pStyle w:val="FirstParagraph"/>
      </w:pPr>
      <w:r>
        <w:t xml:space="preserve">The process of parsing legislation by clause and section, then matching categories by keywords also allows for other possible categorizations. Similar to management domains and IUCN-CMP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64" w:name="tab:clause-type-with-domain-tally"/>
      <w:bookmarkEnd w:id="64"/>
      <w:r>
        <w:t xml:space="preserve">Table 4:</w:t>
      </w:r>
      <w:r>
        <w:t xml:space="preserve"> </w:t>
      </w:r>
      <w:r>
        <w:t xml:space="preserve">Section counts by management domain and clause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1,517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1,123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3,242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2,915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3,157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2,717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2,568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1,598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17,320</w:t>
            </w:r>
          </w:p>
        </w:tc>
      </w:tr>
      <w:tr>
        <w:trPr>
          <w:trHeight w:val="360" w:hRule="auto"/>
        </w:trPr>
        footer 1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Abbreviations: Admin. = Administration, Application, &amp; Structure; Auth. = Authorization &amp; Mandate; Desig. = Designation; Instr. = Instruction; Interp. = Interpretation &amp; Purpose; Licence = Licence, Permitting, &amp; Exemptions; Prohib. = Prohibition, Restriction, or Limitation.</w:t>
            </w:r>
          </w:p>
        </w:tc>
      </w:tr>
    </w:tbl>
    <w:bookmarkEnd w:id="65"/>
    <w:bookmarkEnd w:id="66"/>
    <w:bookmarkStart w:id="98"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units below the level of a recognized taxonomic species if a population has attributes that make it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w:t>
      </w:r>
      <w:r>
        <w:t xml:space="preserve">(COSEWIC 2023)</w:t>
      </w:r>
      <w:r>
        <w:t xml:space="preserve">. COSEWIC outlines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often includes a threat assessment using the same IUCN-CMP threat classification used in this legislative assessment.</w:t>
      </w:r>
    </w:p>
    <w:p>
      <w:pPr>
        <w:pStyle w:val="BodyText"/>
      </w:pPr>
      <w:r>
        <w:t xml:space="preserve">DFO’s</w:t>
      </w:r>
      <w:r>
        <w:t xml:space="preserve"> </w:t>
      </w:r>
      <w:r>
        <w:rPr>
          <w:i/>
          <w:iCs/>
        </w:rPr>
        <w:t xml:space="preserve">Wild Salmon Policy</w:t>
      </w:r>
      <w:r>
        <w:t xml:space="preserve"> </w:t>
      </w:r>
      <w:r>
        <w:t xml:space="preserve">(WSP) outlines salmon management delineated by Conservation Units (CU), which are defined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(DFO 2005)</w:t>
      </w:r>
      <w:r>
        <w:t xml:space="preserve">. In most cases, DUs and CUs are equivalent with some lumping and splitting for specific populations. Any differences are explained within the RPA documents</w:t>
      </w:r>
      <w:r>
        <w:t xml:space="preserve"> </w:t>
      </w:r>
      <w:r>
        <w:t xml:space="preserve">(DFO 2019, 2020; Mahony et al. 2019; Arbeider et al. 2020; Dionne 2023; Doutaz et al. 2023)</w:t>
      </w:r>
      <w:r>
        <w:t xml:space="preserve">.</w:t>
      </w:r>
    </w:p>
    <w:p>
      <w:pPr>
        <w:pStyle w:val="BodyText"/>
      </w:pPr>
      <w:r>
        <w:t xml:space="preserve">Since the RPA population and habitat descriptions, and corresponding threats, are conducted in the context of DUs, we incorporated DUs for the purpose of this study. We only included salmon populations with published RPAs (Table</w:t>
      </w:r>
      <w:r>
        <w:t xml:space="preserve"> </w:t>
      </w:r>
      <w:r>
        <w:t xml:space="preserve">5</w:t>
      </w:r>
      <w:r>
        <w:t xml:space="preserve">), and only RPA processes that used comparable IUCN-CMP threat categories. For example, Sakinaw Lake sockeye had an RPA published in 2019, but used a</w:t>
      </w:r>
      <w:r>
        <w:t xml:space="preserve"> </w:t>
      </w:r>
      <w:r>
        <w:t xml:space="preserve">“</w:t>
      </w:r>
      <w:r>
        <w:t xml:space="preserve">limiting factor</w:t>
      </w:r>
      <w:r>
        <w:t xml:space="preserve">”</w:t>
      </w:r>
      <w:r>
        <w:t xml:space="preserve"> </w:t>
      </w:r>
      <w:r>
        <w:t xml:space="preserve">analysis</w:t>
      </w:r>
      <w:r>
        <w:t xml:space="preserve"> </w:t>
      </w:r>
      <w:r>
        <w:t xml:space="preserve">(Ramshaw et al. 2019)</w:t>
      </w:r>
      <w:r>
        <w:t xml:space="preserve">, which did not align with this analysis.</w:t>
      </w:r>
    </w:p>
    <w:p>
      <w:pPr>
        <w:pStyle w:val="TableCaption"/>
      </w:pPr>
      <w:bookmarkStart w:id="67" w:name="tab:du-species-du-name-table"/>
      <w:bookmarkEnd w:id="67"/>
      <w:r>
        <w:t xml:space="preserve">Table 5:</w:t>
      </w:r>
      <w:r>
        <w:t xml:space="preserve"> </w:t>
      </w:r>
      <w:r>
        <w:t xml:space="preserve">Designatable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DU Number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Designatable Unit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RPA Reference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Ocean, Fall (Harrison)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Ocean, Summer (Maria Slough)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Stream, Summer (Lillooet)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Stream. Summer  (Upper Pitt)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Fall (Portage)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Spring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Spring (FRCanyon)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Fraser,Stream,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 Stream,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 River,Ocean,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Mahony et al. 2021</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 Stream, Summer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 Stream, Summer (Bessette)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Southern Mainland Boundary Bay, Ocean, Fall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Interior Fraser 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Arbeider et al. 2020</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2019</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 (U/S)-L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Barriere-ES population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Takla-Trembleur-EStu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 (River-Type) population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bl>
    <w:p>
      <w:pPr>
        <w:pStyle w:val="Compact"/>
        <w:numPr>
          <w:ilvl w:val="0"/>
          <w:numId w:val="1003"/>
        </w:numPr>
      </w:pPr>
      <w:r>
        <w:rPr>
          <w:b/>
          <w:bCs/>
        </w:rPr>
        <w:t xml:space="preserve">I could add the DU number, too, if you think that might be helpful and appropriate for this audience</w:t>
      </w:r>
    </w:p>
    <w:p>
      <w:pPr>
        <w:pStyle w:val="FirstParagraph"/>
      </w:pPr>
    </w:p>
    <w:p>
      <w:pPr>
        <w:pStyle w:val="BodyText"/>
      </w:pPr>
      <w:r>
        <w:t xml:space="preserve">The RPA process identified two IUCN-CMP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8</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 These two categories were chosen to assess the categories as case studies.</w:t>
      </w:r>
    </w:p>
    <w:p>
      <w:pPr>
        <w:pStyle w:val="Compact"/>
        <w:numPr>
          <w:ilvl w:val="0"/>
          <w:numId w:val="1004"/>
        </w:numPr>
      </w:pPr>
      <w:r>
        <w:rPr>
          <w:b/>
          <w:bCs/>
        </w:rPr>
        <w:t xml:space="preserve">Dan - thanks for pointing out DU14 and</w:t>
      </w:r>
      <w:r>
        <w:rPr>
          <w:b/>
          <w:bCs/>
        </w:rPr>
        <w:t xml:space="preserve"> </w:t>
      </w:r>
      <w:r>
        <w:rPr>
          <w:b/>
          <w:bCs/>
        </w:rPr>
        <w:t xml:space="preserve">“</w:t>
      </w:r>
      <w:r>
        <w:rPr>
          <w:b/>
          <w:bCs/>
        </w:rPr>
        <w:t xml:space="preserve">7.3 Other ecosystem modifications.</w:t>
      </w:r>
      <w:r>
        <w:rPr>
          <w:b/>
          <w:bCs/>
        </w:rPr>
        <w:t xml:space="preserve">”</w:t>
      </w:r>
      <w:r>
        <w:rPr>
          <w:b/>
          <w:bCs/>
        </w:rPr>
        <w:t xml:space="preserve"> </w:t>
      </w:r>
      <w:r>
        <w:rPr>
          <w:b/>
          <w:bCs/>
        </w:rPr>
        <w:t xml:space="preserve">This confused me for a bit. So… the table in DFO 2020 shows an</w:t>
      </w:r>
      <w:r>
        <w:rPr>
          <w:b/>
          <w:bCs/>
        </w:rPr>
        <w:t xml:space="preserve"> </w:t>
      </w:r>
      <w:r>
        <w:rPr>
          <w:b/>
          <w:bCs/>
        </w:rPr>
        <w:t xml:space="preserve">“</w:t>
      </w:r>
      <w:r>
        <w:rPr>
          <w:b/>
          <w:bCs/>
        </w:rPr>
        <w:t xml:space="preserve">Extreme-High</w:t>
      </w:r>
      <w:r>
        <w:rPr>
          <w:b/>
          <w:bCs/>
        </w:rPr>
        <w:t xml:space="preserve">”</w:t>
      </w:r>
      <w:r>
        <w:rPr>
          <w:b/>
          <w:bCs/>
        </w:rPr>
        <w:t xml:space="preserve"> </w:t>
      </w:r>
      <w:r>
        <w:rPr>
          <w:b/>
          <w:bCs/>
        </w:rPr>
        <w:t xml:space="preserve">ranking for</w:t>
      </w:r>
      <w:r>
        <w:rPr>
          <w:b/>
          <w:bCs/>
        </w:rPr>
        <w:t xml:space="preserve"> </w:t>
      </w:r>
      <w:r>
        <w:rPr>
          <w:b/>
          <w:bCs/>
        </w:rPr>
        <w:t xml:space="preserve">“</w:t>
      </w:r>
      <w:r>
        <w:rPr>
          <w:b/>
          <w:bCs/>
        </w:rPr>
        <w:t xml:space="preserve">Natural systems modifications (Water management, ecosystems modifications).</w:t>
      </w:r>
      <w:r>
        <w:rPr>
          <w:b/>
          <w:bCs/>
        </w:rPr>
        <w:t xml:space="preserve">”</w:t>
      </w:r>
      <w:r>
        <w:rPr>
          <w:b/>
          <w:bCs/>
        </w:rPr>
        <w:t xml:space="preserve"> </w:t>
      </w:r>
      <w:r>
        <w:rPr>
          <w:b/>
          <w:bCs/>
        </w:rPr>
        <w:t xml:space="preserve">That’s the only place I could figure out where the</w:t>
      </w:r>
      <w:r>
        <w:rPr>
          <w:b/>
          <w:bCs/>
        </w:rPr>
        <w:t xml:space="preserve"> </w:t>
      </w:r>
      <w:r>
        <w:rPr>
          <w:b/>
          <w:bCs/>
        </w:rPr>
        <w:t xml:space="preserve">“</w:t>
      </w:r>
      <w:r>
        <w:rPr>
          <w:b/>
          <w:bCs/>
        </w:rPr>
        <w:t xml:space="preserve">7.3 Other ecosystem modifications</w:t>
      </w:r>
      <w:r>
        <w:rPr>
          <w:b/>
          <w:bCs/>
        </w:rPr>
        <w:t xml:space="preserve">”</w:t>
      </w:r>
      <w:r>
        <w:rPr>
          <w:b/>
          <w:bCs/>
        </w:rPr>
        <w:t xml:space="preserve"> </w:t>
      </w:r>
      <w:r>
        <w:rPr>
          <w:b/>
          <w:bCs/>
        </w:rPr>
        <w:t xml:space="preserve">might have come from.</w:t>
      </w:r>
    </w:p>
    <w:p>
      <w:pPr>
        <w:pStyle w:val="Compact"/>
        <w:numPr>
          <w:ilvl w:val="0"/>
          <w:numId w:val="1004"/>
        </w:numPr>
      </w:pPr>
      <w:r>
        <w:rPr>
          <w:b/>
          <w:bCs/>
        </w:rPr>
        <w:t xml:space="preserve">In that same report the</w:t>
      </w:r>
      <w:r>
        <w:rPr>
          <w:b/>
          <w:bCs/>
        </w:rPr>
        <w:t xml:space="preserve"> </w:t>
      </w:r>
      <w:r>
        <w:rPr>
          <w:b/>
          <w:bCs/>
        </w:rPr>
        <w:t xml:space="preserve">“</w:t>
      </w:r>
      <w:r>
        <w:rPr>
          <w:b/>
          <w:bCs/>
        </w:rPr>
        <w:t xml:space="preserve">Ecosystems Modifications</w:t>
      </w:r>
      <w:r>
        <w:rPr>
          <w:b/>
          <w:bCs/>
        </w:rPr>
        <w:t xml:space="preserve">”</w:t>
      </w:r>
      <w:r>
        <w:rPr>
          <w:b/>
          <w:bCs/>
        </w:rPr>
        <w:t xml:space="preserve"> </w:t>
      </w:r>
      <w:r>
        <w:rPr>
          <w:b/>
          <w:bCs/>
        </w:rPr>
        <w:t xml:space="preserve">section says,</w:t>
      </w:r>
      <w:r>
        <w:rPr>
          <w:b/>
          <w:bCs/>
        </w:rPr>
        <w:t xml:space="preserve"> </w:t>
      </w:r>
      <w:r>
        <w:rPr>
          <w:b/>
          <w:bCs/>
        </w:rPr>
        <w:t xml:space="preserve">“</w:t>
      </w:r>
      <w:r>
        <w:rPr>
          <w:b/>
          <w:bCs/>
        </w:rPr>
        <w:t xml:space="preserve">Ecosystems modifications that alter catchment surfaces or increase impervious surfaces can have significant effects on stream temperatures and flow regimes. These activities include water extraction, forestry, wildfires, and development from agricultural, industrial, and residential sectors. Impacts of wildfires are similar to forestry as they alter flow and temperature regimes…</w:t>
      </w:r>
      <w:r>
        <w:rPr>
          <w:b/>
          <w:bCs/>
        </w:rPr>
        <w:t xml:space="preserve">”</w:t>
      </w:r>
    </w:p>
    <w:p>
      <w:pPr>
        <w:pStyle w:val="Compact"/>
        <w:numPr>
          <w:ilvl w:val="0"/>
          <w:numId w:val="1004"/>
        </w:numPr>
      </w:pPr>
      <w:r>
        <w:rPr>
          <w:b/>
          <w:bCs/>
        </w:rPr>
        <w:t xml:space="preserve">In the Water Extraction section it says,</w:t>
      </w:r>
      <w:r>
        <w:rPr>
          <w:b/>
          <w:bCs/>
        </w:rPr>
        <w:t xml:space="preserve"> </w:t>
      </w:r>
      <w:r>
        <w:rPr>
          <w:b/>
          <w:bCs/>
        </w:rPr>
        <w:t xml:space="preserve">“</w:t>
      </w:r>
      <w:r>
        <w:rPr>
          <w:b/>
          <w:bCs/>
        </w:rPr>
        <w:t xml:space="preserve">Water extraction for irrigation and livestock can impact FRC through reduced flows in streams, limiting the wetted area of streams, and potentially increasing water temperatures. Groundwater extraction is of particular concern to… Water extraction is of particular concern for DU14 (STh-Bessette), which spawn in a drought-sensitive system in an area of extensive water extraction. Agricultural water use creates low summer flows and high stream temperatures to the point where fish kills have been recorded. The town of Lumby is a large contributor to groundwater extraction for the surrounding area, and water demands are expected to increase in the future. Due to the deficit of water caused by anthropogenic activities this threat was deemed to have a high to extreme level of impact on this population.</w:t>
      </w:r>
      <w:r>
        <w:rPr>
          <w:b/>
          <w:bCs/>
        </w:rPr>
        <w:t xml:space="preserve">”</w:t>
      </w:r>
    </w:p>
    <w:p>
      <w:pPr>
        <w:pStyle w:val="Compact"/>
        <w:numPr>
          <w:ilvl w:val="0"/>
          <w:numId w:val="1004"/>
        </w:numPr>
      </w:pPr>
      <w:r>
        <w:rPr>
          <w:b/>
          <w:bCs/>
        </w:rPr>
        <w:t xml:space="preserve">But the IUCN - CMP Direct Threats Classification 4.0 doesn’t have a</w:t>
      </w:r>
      <w:r>
        <w:rPr>
          <w:b/>
          <w:bCs/>
        </w:rPr>
        <w:t xml:space="preserve"> </w:t>
      </w:r>
      <w:r>
        <w:rPr>
          <w:b/>
          <w:bCs/>
        </w:rPr>
        <w:t xml:space="preserve">“</w:t>
      </w:r>
      <w:r>
        <w:rPr>
          <w:b/>
          <w:bCs/>
        </w:rPr>
        <w:t xml:space="preserve">7.3 Other ecosystem modifications,</w:t>
      </w:r>
      <w:r>
        <w:rPr>
          <w:b/>
          <w:bCs/>
        </w:rPr>
        <w:t xml:space="preserve">”</w:t>
      </w:r>
      <w:r>
        <w:rPr>
          <w:b/>
          <w:bCs/>
        </w:rPr>
        <w:t xml:space="preserve"> </w:t>
      </w:r>
      <w:r>
        <w:rPr>
          <w:b/>
          <w:bCs/>
        </w:rPr>
        <w:t xml:space="preserve">that category is now split; though,</w:t>
      </w:r>
      <w:r>
        <w:rPr>
          <w:b/>
          <w:bCs/>
        </w:rPr>
        <w:t xml:space="preserve"> </w:t>
      </w:r>
      <w:r>
        <w:rPr>
          <w:b/>
          <w:bCs/>
        </w:rPr>
        <w:t xml:space="preserve">“</w:t>
      </w:r>
      <w:r>
        <w:rPr>
          <w:b/>
          <w:bCs/>
        </w:rPr>
        <w:t xml:space="preserve">7.3 Earth &amp; Sediment Management</w:t>
      </w:r>
      <w:r>
        <w:rPr>
          <w:b/>
          <w:bCs/>
        </w:rPr>
        <w:t xml:space="preserve">”</w:t>
      </w:r>
      <w:r>
        <w:rPr>
          <w:b/>
          <w:bCs/>
        </w:rPr>
        <w:t xml:space="preserve"> </w:t>
      </w:r>
      <w:r>
        <w:rPr>
          <w:b/>
          <w:bCs/>
        </w:rPr>
        <w:t xml:space="preserve">would apply to Bessette. This is why I thought that this threat assessment applied to</w:t>
      </w:r>
      <w:r>
        <w:rPr>
          <w:b/>
          <w:bCs/>
        </w:rPr>
        <w:t xml:space="preserve"> </w:t>
      </w:r>
      <w:r>
        <w:rPr>
          <w:b/>
          <w:bCs/>
        </w:rPr>
        <w:t xml:space="preserve">“</w:t>
      </w:r>
      <w:r>
        <w:rPr>
          <w:b/>
          <w:bCs/>
        </w:rPr>
        <w:t xml:space="preserve">7.2 Dams &amp; Water Management / Use,</w:t>
      </w:r>
      <w:r>
        <w:rPr>
          <w:b/>
          <w:bCs/>
        </w:rPr>
        <w:t xml:space="preserve">”</w:t>
      </w:r>
      <w:r>
        <w:rPr>
          <w:b/>
          <w:bCs/>
        </w:rPr>
        <w:t xml:space="preserve"> </w:t>
      </w:r>
      <w:r>
        <w:rPr>
          <w:b/>
          <w:bCs/>
        </w:rPr>
        <w:t xml:space="preserve">which includes</w:t>
      </w:r>
      <w:r>
        <w:rPr>
          <w:b/>
          <w:bCs/>
        </w:rPr>
        <w:t xml:space="preserve"> </w:t>
      </w:r>
      <w:r>
        <w:rPr>
          <w:b/>
          <w:bCs/>
        </w:rPr>
        <w:t xml:space="preserve">“</w:t>
      </w:r>
      <w:r>
        <w:rPr>
          <w:b/>
          <w:bCs/>
        </w:rPr>
        <w:t xml:space="preserve">dam construction, dam operations, levees and dikes, channelization, highway culverts… surface water withdrawals, groundwater pumping…</w:t>
      </w:r>
      <w:r>
        <w:rPr>
          <w:b/>
          <w:bCs/>
        </w:rPr>
        <w:t xml:space="preserve">”</w:t>
      </w:r>
    </w:p>
    <w:p>
      <w:pPr>
        <w:pStyle w:val="Compact"/>
        <w:numPr>
          <w:ilvl w:val="0"/>
          <w:numId w:val="1004"/>
        </w:numPr>
      </w:pPr>
      <w:r>
        <w:rPr>
          <w:b/>
          <w:bCs/>
        </w:rPr>
        <w:t xml:space="preserve">I’ve also done juvenile Chinook surveys in Bessette years ago, and this description matches my experience of Bessette Creek.</w:t>
      </w:r>
    </w:p>
    <w:p>
      <w:pPr>
        <w:pStyle w:val="Compact"/>
        <w:numPr>
          <w:ilvl w:val="0"/>
          <w:numId w:val="1004"/>
        </w:numPr>
      </w:pPr>
      <w:r>
        <w:rPr>
          <w:b/>
          <w:bCs/>
        </w:rPr>
        <w:t xml:space="preserve">Does that sound correct? Did I miss something, or is there another document I’m missing? It’s great that I double-check these specifics! Thanks for reading more deeply into this!</w:t>
      </w:r>
    </w:p>
    <w:p>
      <w:pPr>
        <w:pStyle w:val="CaptionedFigure"/>
      </w:pPr>
      <w:r>
        <w:drawing>
          <wp:inline>
            <wp:extent cx="5943600" cy="4457699"/>
            <wp:effectExtent b="0" l="0" r="0" t="0"/>
            <wp:docPr descr="Figure 8: Threat ranking categories assigned by IUCN-CMP threat categories for Designatable Units of Pacific salmon assessed through the Recovery Potential Assessment process." title="" id="69" name="Picture"/>
            <a:graphic>
              <a:graphicData uri="http://schemas.openxmlformats.org/drawingml/2006/picture">
                <pic:pic>
                  <pic:nvPicPr>
                    <pic:cNvPr descr="LAPSE_primary_publication_files/figure-docx/du-ranking-heatmap-1.png" id="70" name="Picture"/>
                    <pic:cNvPicPr>
                      <a:picLocks noChangeArrowheads="1" noChangeAspect="1"/>
                    </pic:cNvPicPr>
                  </pic:nvPicPr>
                  <pic:blipFill>
                    <a:blip r:embed="rId68"/>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1" w:name="fig:du-ranking-heatmap"/>
      <w:bookmarkEnd w:id="71"/>
      <w:r>
        <w:t xml:space="preserve">Figure 8: Threat ranking categories assigned by IUCN-CMP threat categories for Designatable Units of Pacific salmon assessed through the Recovery Potential Assessment process.</w:t>
      </w:r>
    </w:p>
    <w:p>
      <w:pPr>
        <w:pStyle w:val="Compact"/>
        <w:numPr>
          <w:ilvl w:val="0"/>
          <w:numId w:val="1005"/>
        </w:numPr>
      </w:pPr>
      <w:r>
        <w:rPr>
          <w:b/>
          <w:bCs/>
        </w:rPr>
        <w:t xml:space="preserve">Dan - the heatmap chart no longer shows a count for the number of DUs, it just lists the threat rankings available. I think that should help with the bias. I don’t list the</w:t>
      </w:r>
      <w:r>
        <w:rPr>
          <w:b/>
          <w:bCs/>
        </w:rPr>
        <w:t xml:space="preserve"> </w:t>
      </w:r>
      <w:r>
        <w:rPr>
          <w:b/>
          <w:bCs/>
        </w:rPr>
        <w:t xml:space="preserve">“</w:t>
      </w:r>
      <w:r>
        <w:rPr>
          <w:b/>
          <w:bCs/>
        </w:rPr>
        <w:t xml:space="preserve">Unknown</w:t>
      </w:r>
      <w:r>
        <w:rPr>
          <w:b/>
          <w:bCs/>
        </w:rPr>
        <w:t xml:space="preserve">”</w:t>
      </w:r>
      <w:r>
        <w:rPr>
          <w:b/>
          <w:bCs/>
        </w:rPr>
        <w:t xml:space="preserve"> </w:t>
      </w:r>
      <w:r>
        <w:rPr>
          <w:b/>
          <w:bCs/>
        </w:rPr>
        <w:t xml:space="preserve">values in this graphic, I’m making that an assumed category. But I could add the</w:t>
      </w:r>
      <w:r>
        <w:rPr>
          <w:b/>
          <w:bCs/>
        </w:rPr>
        <w:t xml:space="preserve"> </w:t>
      </w:r>
      <w:r>
        <w:rPr>
          <w:b/>
          <w:bCs/>
        </w:rPr>
        <w:t xml:space="preserve">“</w:t>
      </w:r>
      <w:r>
        <w:rPr>
          <w:b/>
          <w:bCs/>
        </w:rPr>
        <w:t xml:space="preserve">Unknown</w:t>
      </w:r>
      <w:r>
        <w:rPr>
          <w:b/>
          <w:bCs/>
        </w:rPr>
        <w:t xml:space="preserve">”</w:t>
      </w:r>
      <w:r>
        <w:rPr>
          <w:b/>
          <w:bCs/>
        </w:rPr>
        <w:t xml:space="preserve"> </w:t>
      </w:r>
      <w:r>
        <w:rPr>
          <w:b/>
          <w:bCs/>
        </w:rPr>
        <w:t xml:space="preserve">values and treat missing values like Pathogens as an</w:t>
      </w:r>
      <w:r>
        <w:rPr>
          <w:b/>
          <w:bCs/>
        </w:rPr>
        <w:t xml:space="preserve"> </w:t>
      </w:r>
      <w:r>
        <w:rPr>
          <w:b/>
          <w:bCs/>
        </w:rPr>
        <w:t xml:space="preserve">“</w:t>
      </w:r>
      <w:r>
        <w:rPr>
          <w:b/>
          <w:bCs/>
        </w:rPr>
        <w:t xml:space="preserve">Unknown</w:t>
      </w:r>
      <w:r>
        <w:rPr>
          <w:b/>
          <w:bCs/>
        </w:rPr>
        <w:t xml:space="preserve">”</w:t>
      </w:r>
      <w:r>
        <w:rPr>
          <w:b/>
          <w:bCs/>
        </w:rPr>
        <w:t xml:space="preserve">? Let me know what you think.</w:t>
      </w:r>
    </w:p>
    <w:bookmarkStart w:id="81" w:name="X3856333e90bd91383dfc840e5ad71f8d7a91bc0"/>
    <w:p>
      <w:pPr>
        <w:pStyle w:val="Heading2"/>
      </w:pPr>
      <w:r>
        <w:t xml:space="preserve">Case Study: IUCN-CMP</w:t>
      </w:r>
      <w:r>
        <w:t xml:space="preserve"> </w:t>
      </w:r>
      <w:r>
        <w:t xml:space="preserve">“</w:t>
      </w:r>
      <w:r>
        <w:t xml:space="preserve">10.1 Geological Events</w:t>
      </w:r>
      <w:r>
        <w:t xml:space="preserve">”</w:t>
      </w:r>
    </w:p>
    <w:p>
      <w:pPr>
        <w:pStyle w:val="FirstParagraph"/>
      </w:pPr>
      <w:r>
        <w:t xml:space="preserve">Geologic events, specifically landslides, were assessed as</w:t>
      </w:r>
      <w:r>
        <w:t xml:space="preserve"> </w:t>
      </w:r>
      <w:r>
        <w:t xml:space="preserve">“</w:t>
      </w:r>
      <w:r>
        <w:t xml:space="preserve">Extreme</w:t>
      </w:r>
      <w:r>
        <w:t xml:space="preserve">”</w:t>
      </w:r>
      <w:r>
        <w:t xml:space="preserve"> </w:t>
      </w:r>
      <w:r>
        <w:t xml:space="preserve">for three DUs of Fraser River Chinook and one DU of Fraser sockeye (Table</w:t>
      </w:r>
      <w:r>
        <w:t xml:space="preserve"> </w:t>
      </w:r>
      <w:r>
        <w:t xml:space="preserve">??</w:t>
      </w:r>
      <w:r>
        <w:t xml:space="preserve">). This ranking was largely due to the significant landslide on the Fraser River near Big Bar, British Columbia in late 2018 that blocked adult salmon upstream migration</w:t>
      </w:r>
      <w:r>
        <w:t xml:space="preserve"> </w:t>
      </w:r>
      <w:r>
        <w:t xml:space="preserve">(DFO 2020; Doutaz et al. 2023)</w:t>
      </w:r>
      <w:r>
        <w:t xml:space="preserve">. The published RPAs for these populations refer to this threat category as</w:t>
      </w:r>
      <w:r>
        <w:t xml:space="preserve"> </w:t>
      </w:r>
      <w:r>
        <w:t xml:space="preserve">“</w:t>
      </w:r>
      <w:r>
        <w:t xml:space="preserve">Avalanches and Landslides</w:t>
      </w:r>
      <w:r>
        <w:t xml:space="preserve">”</w:t>
      </w:r>
      <w:r>
        <w:t xml:space="preserve"> </w:t>
      </w:r>
      <w:r>
        <w:t xml:space="preserve">or</w:t>
      </w:r>
      <w:r>
        <w:t xml:space="preserve"> </w:t>
      </w:r>
      <w:r>
        <w:t xml:space="preserve">“</w:t>
      </w:r>
      <w:r>
        <w:t xml:space="preserve">Geological events (Landslides).</w:t>
      </w:r>
      <w:r>
        <w:t xml:space="preserve">”</w:t>
      </w:r>
      <w:r>
        <w:t xml:space="preserve"> </w:t>
      </w:r>
      <w:r>
        <w:t xml:space="preserve">Dionne (2023)</w:t>
      </w:r>
      <w:r>
        <w:t xml:space="preserve"> </w:t>
      </w:r>
      <w:r>
        <w:t xml:space="preserve">references</w:t>
      </w:r>
      <w:r>
        <w:t xml:space="preserve"> </w:t>
      </w:r>
      <w:r>
        <w:t xml:space="preserve">“</w:t>
      </w:r>
      <w:r>
        <w:t xml:space="preserve">IUCN-CMP threat category 10.2.</w:t>
      </w:r>
      <w:r>
        <w:t xml:space="preserve">”</w:t>
      </w:r>
      <w:r>
        <w:t xml:space="preserve"> </w:t>
      </w:r>
      <w:r>
        <w:t xml:space="preserve">However, the most current</w:t>
      </w:r>
      <w:r>
        <w:t xml:space="preserve"> </w:t>
      </w:r>
      <w:r>
        <w:rPr>
          <w:i/>
          <w:iCs/>
        </w:rPr>
        <w:t xml:space="preserve">IUCN-CMP Direct Threats Classification version 4.0</w:t>
      </w:r>
      <w:r>
        <w:t xml:space="preserve"> </w:t>
      </w:r>
      <w:r>
        <w:t xml:space="preserve">uses a slightly altered structure</w:t>
      </w:r>
      <w:r>
        <w:t xml:space="preserve"> </w:t>
      </w:r>
      <w:r>
        <w:t xml:space="preserve">(Salafsky et al. 2024)</w:t>
      </w:r>
      <w:r>
        <w:t xml:space="preserve"> </w:t>
      </w:r>
      <w:r>
        <w:t xml:space="preserve">where the the Level 2 threat is called</w:t>
      </w:r>
      <w:r>
        <w:t xml:space="preserve"> </w:t>
      </w:r>
      <w:r>
        <w:t xml:space="preserve">“</w:t>
      </w:r>
      <w:r>
        <w:t xml:space="preserve">10.1 Geological Events,</w:t>
      </w:r>
      <w:r>
        <w:t xml:space="preserve">”</w:t>
      </w:r>
      <w:r>
        <w:t xml:space="preserve"> </w:t>
      </w:r>
      <w:r>
        <w:t xml:space="preserve">and avalanches and landslides are listed as examples of these events. We modified the classification of these assessments to fit the newest IUCN-CMP version for consistency.</w:t>
      </w:r>
    </w:p>
    <w:p>
      <w:pPr>
        <w:pStyle w:val="TableCaption"/>
      </w:pPr>
      <w:bookmarkStart w:id="72" w:name="tab:du-extreme-threat-table"/>
      <w:bookmarkEnd w:id="72"/>
      <w:r>
        <w:t xml:space="preserve">Table 6:</w:t>
      </w:r>
      <w:r>
        <w:t xml:space="preserve"> </w:t>
      </w:r>
      <w:r>
        <w:t xml:space="preserve">List of Pacific salmon Designatable Units where an 'Extreme' rating was assigned to the '10.1 Geological Events' IUCN-CMP threat category through the RPA process.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DU Number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Designatable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Spring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Fraser,Stream, Summer</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Stream, Spring</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Takla-Trembleur-EStu population</w:t>
            </w:r>
          </w:p>
        </w:tc>
      </w:tr>
    </w:tbl>
    <w:p>
      <w:pPr>
        <w:pStyle w:val="BodyText"/>
      </w:pPr>
    </w:p>
    <w:p>
      <w:pPr>
        <w:pStyle w:val="BodyText"/>
      </w:pPr>
      <w:r>
        <w:t xml:space="preserve">The Big Bar landslide on the Fraser River in 2018 was a significant event that impacted approximately 80% of the Fraser salmon stocks</w:t>
      </w:r>
      <w:r>
        <w:t xml:space="preserve"> </w:t>
      </w:r>
      <w:r>
        <w:t xml:space="preserve">(Doutaz et al. 2023)</w:t>
      </w:r>
      <w:r>
        <w:t xml:space="preserve">. The blockage created a massive impediment to returning adult salmon, and occurred in a narrow and remote reach of the Fraser River where few options for mitigation were available. Landslides, in general, can occur naturally, but the severity and frequency can also be exacerbated indirectly by human activities</w:t>
      </w:r>
      <w:r>
        <w:t xml:space="preserve"> </w:t>
      </w:r>
      <w:r>
        <w:t xml:space="preserve">(Doutaz et al. 2023)</w:t>
      </w:r>
      <w:r>
        <w:t xml:space="preserve"> </w:t>
      </w:r>
      <w:r>
        <w:t xml:space="preserve">such as landscape-scale changes and climate change. This disconnection from human activities means that</w:t>
      </w:r>
      <w:r>
        <w:t xml:space="preserve"> </w:t>
      </w:r>
      <w:r>
        <w:t xml:space="preserve">“</w:t>
      </w:r>
      <w:r>
        <w:t xml:space="preserve">10.1 Geological Events</w:t>
      </w:r>
      <w:r>
        <w:t xml:space="preserve">”</w:t>
      </w:r>
      <w:r>
        <w:t xml:space="preserve"> </w:t>
      </w:r>
      <w:r>
        <w:t xml:space="preserve">is not a large category to be matched with regulation (Figure</w:t>
      </w:r>
      <w:r>
        <w:t xml:space="preserve"> </w:t>
      </w:r>
      <w:r>
        <w:t xml:space="preserve">6</w:t>
      </w:r>
      <w:r>
        <w:t xml:space="preserve">).</w:t>
      </w:r>
    </w:p>
    <w:p>
      <w:pPr>
        <w:pStyle w:val="CaptionedFigure"/>
      </w:pPr>
      <w:r>
        <w:drawing>
          <wp:inline>
            <wp:extent cx="5943600" cy="4457699"/>
            <wp:effectExtent b="0" l="0" r="0" t="0"/>
            <wp:docPr descr="Figure 9: Count of sections by legislation for IUCN threat category ‘10.1 Geological Events’, coloured by jurisdiction." title="" id="74" name="Picture"/>
            <a:graphic>
              <a:graphicData uri="http://schemas.openxmlformats.org/drawingml/2006/picture">
                <pic:pic>
                  <pic:nvPicPr>
                    <pic:cNvPr descr="LAPSE_primary_publication_files/figure-docx/section-count-iucn-geological-1.png" id="75" name="Picture"/>
                    <pic:cNvPicPr>
                      <a:picLocks noChangeArrowheads="1" noChangeAspect="1"/>
                    </pic:cNvPicPr>
                  </pic:nvPicPr>
                  <pic:blipFill>
                    <a:blip r:embed="rId73"/>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6" w:name="fig:section-count-iucn-geological"/>
      <w:bookmarkEnd w:id="76"/>
      <w:r>
        <w:t xml:space="preserve">Figure 9: Count of sections by legislation for IUCN threat category</w:t>
      </w:r>
      <w:r>
        <w:t xml:space="preserve"> </w:t>
      </w:r>
      <w:r>
        <w:t xml:space="preserve">‘</w:t>
      </w:r>
      <w:r>
        <w:t xml:space="preserve">10.1 Geological Events</w:t>
      </w:r>
      <w:r>
        <w:t xml:space="preserve">’</w:t>
      </w:r>
      <w:r>
        <w:t xml:space="preserve">, coloured by jurisdiction.</w:t>
      </w:r>
    </w:p>
    <w:p>
      <w:pPr>
        <w:pStyle w:val="BodyText"/>
      </w:pPr>
      <w:r>
        <w:t xml:space="preserve">The</w:t>
      </w:r>
      <w:r>
        <w:t xml:space="preserve"> </w:t>
      </w:r>
      <w:r>
        <w:t xml:space="preserve">“</w:t>
      </w:r>
      <w:r>
        <w:t xml:space="preserve">Designation</w:t>
      </w:r>
      <w:r>
        <w:t xml:space="preserve">”</w:t>
      </w:r>
      <w:r>
        <w:t xml:space="preserve"> </w:t>
      </w:r>
      <w:r>
        <w:t xml:space="preserve">clause type category matched the largest proportion of clauses that also match</w:t>
      </w:r>
      <w:r>
        <w:t xml:space="preserve"> </w:t>
      </w:r>
      <w:r>
        <w:t xml:space="preserve">“</w:t>
      </w:r>
      <w:r>
        <w:t xml:space="preserve">10.1 Geological Events.</w:t>
      </w:r>
      <w:r>
        <w:t xml:space="preserve">”</w:t>
      </w:r>
      <w:r>
        <w:t xml:space="preserve"> </w:t>
      </w:r>
      <w:r>
        <w:t xml:space="preserve">This is largely due to the designation of avalanche and landslide areas.</w:t>
      </w:r>
      <w:r>
        <w:t xml:space="preserve"> </w:t>
      </w:r>
      <w:r>
        <w:t xml:space="preserve">“</w:t>
      </w:r>
      <w:r>
        <w:t xml:space="preserve">Instruction</w:t>
      </w:r>
      <w:r>
        <w:t xml:space="preserve">”</w:t>
      </w:r>
      <w:r>
        <w:t xml:space="preserve"> </w:t>
      </w:r>
      <w:r>
        <w:t xml:space="preserve">also had a large proportion of clause type matches due to the nature of forestry legislation and the prevalence of forestry actions to result in landslides.</w:t>
      </w:r>
      <w:r>
        <w:t xml:space="preserve"> </w:t>
      </w:r>
      <w:r>
        <w:t xml:space="preserve">“</w:t>
      </w:r>
      <w:r>
        <w:t xml:space="preserve">Prohibition, Restriction, or Limitation</w:t>
      </w:r>
      <w:r>
        <w:t xml:space="preserve">”</w:t>
      </w:r>
      <w:r>
        <w:t xml:space="preserve"> </w:t>
      </w:r>
      <w:r>
        <w:t xml:space="preserve">clause types matched the fewest clauses.</w:t>
      </w:r>
    </w:p>
    <w:p>
      <w:pPr>
        <w:pStyle w:val="CaptionedFigure"/>
      </w:pPr>
      <w:r>
        <w:drawing>
          <wp:inline>
            <wp:extent cx="5943600" cy="4245428"/>
            <wp:effectExtent b="0" l="0" r="0" t="0"/>
            <wp:docPr descr="Figure 10: Section counts by clause type for IUCN-CMP threat category 10.1 Geological Events." title="" id="78" name="Picture"/>
            <a:graphic>
              <a:graphicData uri="http://schemas.openxmlformats.org/drawingml/2006/picture">
                <pic:pic>
                  <pic:nvPicPr>
                    <pic:cNvPr descr="LAPSE_primary_publication_files/figure-docx/fig-clause-type-geological-events-1.png" id="79" name="Picture"/>
                    <pic:cNvPicPr>
                      <a:picLocks noChangeArrowheads="1" noChangeAspect="1"/>
                    </pic:cNvPicPr>
                  </pic:nvPicPr>
                  <pic:blipFill>
                    <a:blip r:embed="rId77"/>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0" w:name="fig:fig-clause-type-geological-events"/>
      <w:bookmarkEnd w:id="80"/>
      <w:r>
        <w:t xml:space="preserve">Figure 10: Section counts by clause type for IUCN-CMP threat category 10.1 Geological Events.</w:t>
      </w:r>
    </w:p>
    <w:p>
      <w:pPr>
        <w:numPr>
          <w:ilvl w:val="0"/>
          <w:numId w:val="1006"/>
        </w:numPr>
      </w:pPr>
      <w:r>
        <w:rPr>
          <w:b/>
          <w:bCs/>
        </w:rPr>
        <w:t xml:space="preserve">DG - Could be helpful to note the different values on the x-axis between this and the next figure</w:t>
      </w:r>
    </w:p>
    <w:p>
      <w:pPr>
        <w:numPr>
          <w:ilvl w:val="0"/>
          <w:numId w:val="1006"/>
        </w:numPr>
      </w:pPr>
      <w:r>
        <w:rPr>
          <w:b/>
          <w:bCs/>
        </w:rPr>
        <w:t xml:space="preserve">Comment on the most relevant legislation and why</w:t>
      </w:r>
    </w:p>
    <w:bookmarkEnd w:id="81"/>
    <w:bookmarkStart w:id="82" w:name="forest-and-range-practices-act"/>
    <w:p>
      <w:pPr>
        <w:pStyle w:val="Heading2"/>
      </w:pPr>
      <w:r>
        <w:rPr>
          <w:b/>
          <w:bCs/>
        </w:rPr>
        <w:t xml:space="preserve">Forest and Range Practices Act</w:t>
      </w:r>
    </w:p>
    <w:bookmarkEnd w:id="82"/>
    <w:bookmarkStart w:id="84" w:name="forest-planning-and-practices-regulation"/>
    <w:p>
      <w:pPr>
        <w:pStyle w:val="Heading2"/>
      </w:pPr>
      <w:r>
        <w:rPr>
          <w:b/>
          <w:bCs/>
        </w:rPr>
        <w:t xml:space="preserve">Forest Planning and Practices Regulation</w:t>
      </w:r>
    </w:p>
    <w:p>
      <w:pPr>
        <w:pStyle w:val="Heading4"/>
      </w:pPr>
      <w:bookmarkStart w:id="83" w:name="damage-to-the-environment"/>
      <w:r>
        <w:rPr>
          <w:b/>
          <w:bCs/>
        </w:rPr>
        <w:t xml:space="preserve">Damage to the environment”</w:t>
      </w:r>
      <w:bookmarkEnd w:id="83"/>
    </w:p>
    <w:p>
      <w:pPr>
        <w:pStyle w:val="BlockText"/>
      </w:pPr>
      <w:r>
        <w:rPr>
          <w:b/>
          <w:bCs/>
        </w:rPr>
        <w:t xml:space="preserve">3</w:t>
      </w:r>
      <w:r>
        <w:t xml:space="preserve"> </w:t>
      </w:r>
      <w:r>
        <w:t xml:space="preserve">  (1)For the purpose of section 46 (1) and (1.1)</w:t>
      </w:r>
      <w:r>
        <w:t xml:space="preserve"> </w:t>
      </w:r>
      <w:r>
        <w:rPr>
          <w:i/>
          <w:iCs/>
        </w:rPr>
        <w:t xml:space="preserve">[protection of the environment]</w:t>
      </w:r>
      <w:r>
        <w:t xml:space="preserve"> </w:t>
      </w:r>
      <w:r>
        <w:t xml:space="preserve">of the Act,</w:t>
      </w:r>
      <w:r>
        <w:t xml:space="preserve"> </w:t>
      </w:r>
      <w:r>
        <w:t xml:space="preserve">“</w:t>
      </w:r>
      <w:r>
        <w:t xml:space="preserve">damage</w:t>
      </w:r>
      <w:r>
        <w:t xml:space="preserve">”</w:t>
      </w:r>
      <w:r>
        <w:t xml:space="preserve"> </w:t>
      </w:r>
      <w:r>
        <w:t xml:space="preserve">means any of the following that adversely alters an ecosystem: (a)a landslide…</w:t>
      </w:r>
    </w:p>
    <w:bookmarkEnd w:id="84"/>
    <w:bookmarkStart w:id="86" w:name="environmental-management-act"/>
    <w:p>
      <w:pPr>
        <w:pStyle w:val="Heading2"/>
      </w:pPr>
      <w:r>
        <w:rPr>
          <w:b/>
          <w:bCs/>
        </w:rPr>
        <w:t xml:space="preserve">Environmental Management Act</w:t>
      </w:r>
    </w:p>
    <w:bookmarkStart w:id="85" w:name="environmental-emergency-measures"/>
    <w:p>
      <w:pPr>
        <w:pStyle w:val="Heading4"/>
      </w:pPr>
      <w:r>
        <w:rPr>
          <w:b/>
          <w:bCs/>
        </w:rPr>
        <w:t xml:space="preserve">Environmental emergency measures</w:t>
      </w:r>
    </w:p>
    <w:p>
      <w:pPr>
        <w:pStyle w:val="BlockText"/>
      </w:pPr>
      <w:r>
        <w:rPr>
          <w:b/>
          <w:bCs/>
        </w:rPr>
        <w:t xml:space="preserve">87</w:t>
      </w:r>
      <w:r>
        <w:t xml:space="preserve"> </w:t>
      </w:r>
      <w:r>
        <w:t xml:space="preserve">  (1)In this section and section 88 </w:t>
      </w:r>
      <w:r>
        <w:rPr>
          <w:i/>
          <w:iCs/>
        </w:rPr>
        <w:t xml:space="preserve">[recovery of costs — environmental emergency]</w:t>
      </w:r>
      <w:r>
        <w:t xml:space="preserve">, </w:t>
      </w:r>
      <w:r>
        <w:t xml:space="preserve">“</w:t>
      </w:r>
      <w:r>
        <w:t xml:space="preserve">environmental emergency</w:t>
      </w:r>
      <w:r>
        <w:t xml:space="preserve">”</w:t>
      </w:r>
      <w:r>
        <w:t xml:space="preserve"> </w:t>
      </w:r>
      <w:r>
        <w:t xml:space="preserve">means an occurrence or natural disaster that affects the environment and includes the following: (a)a flood; (b)a landslide…</w:t>
      </w:r>
    </w:p>
    <w:bookmarkEnd w:id="85"/>
    <w:bookmarkEnd w:id="86"/>
    <w:bookmarkStart w:id="97" w:name="X15485f2d7aa370fe8bb44ad6615478afca66336"/>
    <w:p>
      <w:pPr>
        <w:pStyle w:val="Heading2"/>
      </w:pPr>
      <w:r>
        <w:t xml:space="preserve">Case Study: IUCN-CMP</w:t>
      </w:r>
      <w:r>
        <w:t xml:space="preserve"> </w:t>
      </w:r>
      <w:r>
        <w:t xml:space="preserve">“</w:t>
      </w:r>
      <w:r>
        <w:t xml:space="preserve">7.2 Dams &amp; Water Management / Use</w:t>
      </w:r>
      <w:r>
        <w:t xml:space="preserve">”</w:t>
      </w:r>
    </w:p>
    <w:p>
      <w:pPr>
        <w:pStyle w:val="FirstParagraph"/>
      </w:pPr>
      <w:r>
        <w:t xml:space="preserve">One IUCN-CMP threat was assessed as</w:t>
      </w:r>
      <w:r>
        <w:t xml:space="preserve"> </w:t>
      </w:r>
      <w:r>
        <w:t xml:space="preserve">“</w:t>
      </w:r>
      <w:r>
        <w:t xml:space="preserve">Extreme-High</w:t>
      </w:r>
      <w:r>
        <w:t xml:space="preserve">”</w:t>
      </w:r>
      <w:r>
        <w:t xml:space="preserve"> </w:t>
      </w:r>
      <w:r>
        <w:t xml:space="preserve">through DFO Recovery Potential Assessment processes, which was</w:t>
      </w:r>
      <w:r>
        <w:t xml:space="preserve"> </w:t>
      </w:r>
      <w:r>
        <w:t xml:space="preserve">“</w:t>
      </w:r>
      <w:r>
        <w:t xml:space="preserve">7.2 Dams &amp; Water Management / Use</w:t>
      </w:r>
      <w:r>
        <w:t xml:space="preserve">”</w:t>
      </w:r>
      <w:r>
        <w:t xml:space="preserve"> </w:t>
      </w:r>
      <w:r>
        <w:t xml:space="preserve">(DFO 2020)</w:t>
      </w:r>
      <w:r>
        <w:t xml:space="preserve">. Water extraction, including groundwater, for irrigation and domestic purposes is listed as the most significant concern</w:t>
      </w:r>
      <w:r>
        <w:t xml:space="preserve"> </w:t>
      </w:r>
      <w:r>
        <w:t xml:space="preserve">(DFO 2020)</w:t>
      </w:r>
      <w:r>
        <w:t xml:space="preserve">. This threat was assigned to one Chinook conservation unit in the Fraser Interior area (Table</w:t>
      </w:r>
      <w:r>
        <w:t xml:space="preserve"> </w:t>
      </w:r>
      <w:r>
        <w:t xml:space="preserve">??</w:t>
      </w:r>
      <w:r>
        <w:t xml:space="preserve">).</w:t>
      </w:r>
    </w:p>
    <w:p>
      <w:pPr>
        <w:numPr>
          <w:ilvl w:val="0"/>
          <w:numId w:val="1007"/>
        </w:numPr>
      </w:pPr>
      <w:r>
        <w:rPr>
          <w:b/>
          <w:bCs/>
        </w:rPr>
        <w:t xml:space="preserve">DG - And 7.3 Other ecosystem modifications</w:t>
      </w:r>
    </w:p>
    <w:p>
      <w:pPr>
        <w:numPr>
          <w:ilvl w:val="0"/>
          <w:numId w:val="1007"/>
        </w:numPr>
      </w:pPr>
      <w:r>
        <w:rPr>
          <w:b/>
          <w:bCs/>
        </w:rPr>
        <w:t xml:space="preserve">DG - Likewise, this DU spawns in the South Thompson River watershed, so there’s an opportunity to make this description a bit more precise if wanted.</w:t>
      </w:r>
    </w:p>
    <w:p>
      <w:pPr>
        <w:pStyle w:val="TableCaption"/>
      </w:pPr>
      <w:bookmarkStart w:id="87" w:name="tab:du-extreme-high-threat-table"/>
      <w:bookmarkEnd w:id="87"/>
      <w:r>
        <w:t xml:space="preserve">Table 7:</w:t>
      </w:r>
      <w:r>
        <w:t xml:space="preserve"> </w:t>
      </w:r>
      <w:r>
        <w:t xml:space="preserve">Designatable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DU Number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Designatable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 Stream, Summer (Bessette)</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Compact"/>
        <w:numPr>
          <w:ilvl w:val="0"/>
          <w:numId w:val="1008"/>
        </w:numPr>
      </w:pPr>
      <w:r>
        <w:rPr>
          <w:b/>
          <w:bCs/>
        </w:rPr>
        <w:t xml:space="preserve">DG - This made me think that there was going to be a citation at the end of this sentence. Is this statement based on the present analysis? If so, then perhaps something to the effect of</w:t>
      </w:r>
      <w:r>
        <w:rPr>
          <w:b/>
          <w:bCs/>
        </w:rPr>
        <w:t xml:space="preserve"> </w:t>
      </w:r>
      <w:r>
        <w:rPr>
          <w:b/>
          <w:bCs/>
        </w:rPr>
        <w:t xml:space="preserve">“</w:t>
      </w:r>
      <w:r>
        <w:rPr>
          <w:b/>
          <w:bCs/>
        </w:rPr>
        <w:t xml:space="preserve">this analysis suggests that watercourse alternations are one of the top…</w:t>
      </w:r>
      <w:r>
        <w:rPr>
          <w:b/>
          <w:bCs/>
        </w:rPr>
        <w:t xml:space="preserve">”</w:t>
      </w:r>
    </w:p>
    <w:p>
      <w:pPr>
        <w:pStyle w:val="CaptionedFigure"/>
      </w:pPr>
      <w:r>
        <w:drawing>
          <wp:inline>
            <wp:extent cx="5943600" cy="4457699"/>
            <wp:effectExtent b="0" l="0" r="0" t="0"/>
            <wp:docPr descr="Figure 11: Count of sections by legislation for IUCN threat category ‘7.2 Dams &amp; Water Management / Use’, coloured by jurisdiction. Top 15 legislation shown." title="" id="89" name="Picture"/>
            <a:graphic>
              <a:graphicData uri="http://schemas.openxmlformats.org/drawingml/2006/picture">
                <pic:pic>
                  <pic:nvPicPr>
                    <pic:cNvPr descr="LAPSE_primary_publication_files/figure-docx/section-count-iucn-dams-water-1.png" id="90" name="Picture"/>
                    <pic:cNvPicPr>
                      <a:picLocks noChangeArrowheads="1" noChangeAspect="1"/>
                    </pic:cNvPicPr>
                  </pic:nvPicPr>
                  <pic:blipFill>
                    <a:blip r:embed="rId88"/>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91" w:name="fig:section-count-iucn-dams-water"/>
      <w:bookmarkEnd w:id="91"/>
      <w:r>
        <w:t xml:space="preserve">Figure 11: Count of sections by legislation for IUCN threat category</w:t>
      </w:r>
      <w:r>
        <w:t xml:space="preserve"> </w:t>
      </w:r>
      <w:r>
        <w:t xml:space="preserve">‘</w:t>
      </w:r>
      <w:r>
        <w:t xml:space="preserve">7.2 Dams &amp; Water Management / Use</w:t>
      </w:r>
      <w:r>
        <w:t xml:space="preserve">’</w:t>
      </w:r>
      <w:r>
        <w:t xml:space="preserve">, coloured by jurisdiction. Top 15 legislation shown.</w:t>
      </w:r>
    </w:p>
    <w:p>
      <w:pPr>
        <w:pStyle w:val="BodyText"/>
      </w:pPr>
      <w:r>
        <w:t xml:space="preserve">The clause type matches for Dams and Water Management / Use were much more evenly distributed likely due to the large number of clause matches in total for that IUCN-CMP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4245428"/>
            <wp:effectExtent b="0" l="0" r="0" t="0"/>
            <wp:docPr descr="Figure 12: Section counts by clause type for IUCN-CMP threat category 7.2 Dams &amp; Water Management / Use." title="" id="93" name="Picture"/>
            <a:graphic>
              <a:graphicData uri="http://schemas.openxmlformats.org/drawingml/2006/picture">
                <pic:pic>
                  <pic:nvPicPr>
                    <pic:cNvPr descr="LAPSE_primary_publication_files/figure-docx/fig-clause-type-water-use-1.png" id="94" name="Picture"/>
                    <pic:cNvPicPr>
                      <a:picLocks noChangeArrowheads="1" noChangeAspect="1"/>
                    </pic:cNvPicPr>
                  </pic:nvPicPr>
                  <pic:blipFill>
                    <a:blip r:embed="rId92"/>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95" w:name="fig:fig-clause-type-water-use"/>
      <w:bookmarkEnd w:id="95"/>
      <w:r>
        <w:t xml:space="preserve">Figure 12: Section counts by clause type for IUCN-CMP threat category 7.2 Dams &amp; Water Management / Use.</w:t>
      </w:r>
    </w:p>
    <w:p>
      <w:pPr>
        <w:numPr>
          <w:ilvl w:val="0"/>
          <w:numId w:val="1009"/>
        </w:numPr>
      </w:pPr>
      <w:r>
        <w:rPr>
          <w:b/>
          <w:bCs/>
        </w:rPr>
        <w:t xml:space="preserve">add more description of Bessette Creek</w:t>
      </w:r>
    </w:p>
    <w:p>
      <w:pPr>
        <w:numPr>
          <w:ilvl w:val="0"/>
          <w:numId w:val="1009"/>
        </w:numPr>
      </w:pPr>
      <w:r>
        <w:rPr>
          <w:b/>
          <w:bCs/>
        </w:rPr>
        <w:t xml:space="preserve">MW - This may be out of scope for your review but here is a report that outlines the burden of proof needed for the Gov of BC to deny an application for an irrigation well in the Bessette Watershed. Their refusal decision was appealed by the applicant. It may have some background info you are looking for.</w:t>
      </w:r>
      <w:r>
        <w:rPr>
          <w:b/>
          <w:bCs/>
        </w:rPr>
        <w:t xml:space="preserve"> </w:t>
      </w:r>
      <w:hyperlink r:id="rId96">
        <w:r>
          <w:rPr>
            <w:rStyle w:val="Hyperlink"/>
            <w:b/>
            <w:bCs/>
          </w:rPr>
          <w:t xml:space="preserve">Aquatic Report Catalogue</w:t>
        </w:r>
      </w:hyperlink>
    </w:p>
    <w:p>
      <w:pPr>
        <w:numPr>
          <w:ilvl w:val="0"/>
          <w:numId w:val="1009"/>
        </w:numPr>
      </w:pPr>
      <w:r>
        <w:rPr>
          <w:b/>
          <w:bCs/>
        </w:rPr>
        <w:t xml:space="preserve">Comment on the most relevant legislation and why</w:t>
      </w:r>
    </w:p>
    <w:p>
      <w:pPr>
        <w:numPr>
          <w:ilvl w:val="0"/>
          <w:numId w:val="1009"/>
        </w:numPr>
      </w:pPr>
      <w:r>
        <w:rPr>
          <w:b/>
          <w:bCs/>
        </w:rPr>
        <w:t xml:space="preserve">MW - In case this is helpful context:</w:t>
      </w:r>
    </w:p>
    <w:p>
      <w:pPr>
        <w:numPr>
          <w:ilvl w:val="0"/>
          <w:numId w:val="1000"/>
        </w:numPr>
      </w:pPr>
      <w:r>
        <w:rPr>
          <w:b/>
          <w:bCs/>
        </w:rPr>
        <w:t xml:space="preserve">Water Sustainability Act Sections for water use/licencing:</w:t>
      </w:r>
      <w:r>
        <w:br/>
      </w:r>
    </w:p>
    <w:p>
      <w:pPr>
        <w:numPr>
          <w:ilvl w:val="0"/>
          <w:numId w:val="1000"/>
        </w:numPr>
      </w:pPr>
      <w:r>
        <w:rPr>
          <w:b/>
          <w:bCs/>
        </w:rPr>
        <w:t xml:space="preserve">14 Powers respecting applications and decision maker initiatives</w:t>
      </w:r>
    </w:p>
    <w:p>
      <w:pPr>
        <w:numPr>
          <w:ilvl w:val="0"/>
          <w:numId w:val="1000"/>
        </w:numPr>
      </w:pPr>
      <w:r>
        <w:rPr>
          <w:b/>
          <w:bCs/>
        </w:rPr>
        <w:t xml:space="preserve">Decision point:</w:t>
      </w:r>
    </w:p>
    <w:p>
      <w:pPr>
        <w:numPr>
          <w:ilvl w:val="0"/>
          <w:numId w:val="1000"/>
        </w:numPr>
      </w:pPr>
      <w:r>
        <w:rPr>
          <w:b/>
          <w:bCs/>
        </w:rPr>
        <w:t xml:space="preserve">The decision maker may refuse an application, require additional information from the applicant, include special conditions, amend or grant the application.</w:t>
      </w:r>
    </w:p>
    <w:p>
      <w:pPr>
        <w:numPr>
          <w:ilvl w:val="0"/>
          <w:numId w:val="1000"/>
        </w:numPr>
      </w:pPr>
      <w:r>
        <w:rPr>
          <w:b/>
          <w:bCs/>
        </w:rPr>
        <w:t xml:space="preserve">15 EFN</w:t>
      </w:r>
    </w:p>
    <w:p>
      <w:pPr>
        <w:numPr>
          <w:ilvl w:val="0"/>
          <w:numId w:val="1000"/>
        </w:numPr>
      </w:pPr>
      <w:r>
        <w:rPr>
          <w:b/>
          <w:bCs/>
        </w:rPr>
        <w:t xml:space="preserve">Decision points:</w:t>
      </w:r>
    </w:p>
    <w:p>
      <w:pPr>
        <w:numPr>
          <w:ilvl w:val="1"/>
          <w:numId w:val="1010"/>
        </w:numPr>
      </w:pPr>
      <w:r>
        <w:rPr>
          <w:b/>
          <w:bCs/>
        </w:rPr>
        <w:t xml:space="preserve">The decision maker must consider the environmental flow needs of the stream (as outlined in the EFN Policy).</w:t>
      </w:r>
    </w:p>
    <w:p>
      <w:pPr>
        <w:numPr>
          <w:ilvl w:val="1"/>
          <w:numId w:val="1010"/>
        </w:numPr>
      </w:pPr>
      <w:r>
        <w:rPr>
          <w:b/>
          <w:bCs/>
        </w:rPr>
        <w:t xml:space="preserve">In some cases, the decision maker must determine the EFN and may require further assessment from the applicant or a QEP — typically when regulations apply (e.g., the stream is identified as a Sensitive Stream in regulation) or when the decision maker deems additional information necessary to properly assess the application.</w:t>
      </w:r>
    </w:p>
    <w:bookmarkEnd w:id="97"/>
    <w:bookmarkEnd w:id="98"/>
    <w:bookmarkStart w:id="99"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IUCN-CMP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99"/>
    <w:bookmarkStart w:id="101"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stewardship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100" w:name="conclusions"/>
    <w:p>
      <w:pPr>
        <w:pStyle w:val="Heading2"/>
      </w:pPr>
      <w:r>
        <w:t xml:space="preserve">Conclusions</w:t>
      </w:r>
    </w:p>
    <w:p>
      <w:pPr>
        <w:pStyle w:val="FirstParagraph"/>
      </w:pPr>
      <w:r>
        <w:t xml:space="preserve">Pacific salmon stewardship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Compact"/>
        <w:numPr>
          <w:ilvl w:val="0"/>
          <w:numId w:val="1011"/>
        </w:numPr>
      </w:pPr>
      <w:r>
        <w:rPr>
          <w:b/>
          <w:bCs/>
        </w:rPr>
        <w:t xml:space="preserve">DG - I feel as though LAPSE provides practitioners with more than knowledge, but also accessibility and navigability of the legal landscape</w:t>
      </w:r>
    </w:p>
    <w:p>
      <w:pPr>
        <w:pStyle w:val="FirstParagraph"/>
      </w:pPr>
      <w:r>
        <w:t xml:space="preserve">The LAPSE tool provides a novel approach of linking legal language with salmon stewardship categorization by developing management domain categories based on internationally recognized biodiversity threat categories (IUCN-CMP threats). The methods developed to identify and match salmon management keywords and keyphrases to clauses allow for multiple outputs and opportunities including: an extensive list of legislation (acts, regulations, sections, and paragraphs) relevant to a human activity or salmon stewardship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stewardship decisions and administrative responsibility.</w:t>
      </w:r>
    </w:p>
    <w:bookmarkEnd w:id="100"/>
    <w:bookmarkEnd w:id="101"/>
    <w:bookmarkStart w:id="187" w:name="references"/>
    <w:p>
      <w:pPr>
        <w:pStyle w:val="Heading1"/>
      </w:pPr>
      <w:r>
        <w:t xml:space="preserve">References</w:t>
      </w:r>
    </w:p>
    <w:bookmarkStart w:id="186" w:name="refs"/>
    <w:bookmarkStart w:id="102"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r>
        <w:t xml:space="preserve"> </w:t>
      </w:r>
      <w:r>
        <w:t xml:space="preserve">Fisheries and Oceans Canada</w:t>
      </w:r>
      <w:r>
        <w:t xml:space="preserve">.</w:t>
      </w:r>
    </w:p>
    <w:bookmarkEnd w:id="102"/>
    <w:bookmarkStart w:id="104"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103">
        <w:r>
          <w:rPr>
            <w:rStyle w:val="Hyperlink"/>
          </w:rPr>
          <w:t xml:space="preserve">10.1101/2024.12.01.626233</w:t>
        </w:r>
      </w:hyperlink>
      <w:r>
        <w:t xml:space="preserve">.</w:t>
      </w:r>
    </w:p>
    <w:bookmarkEnd w:id="104"/>
    <w:bookmarkStart w:id="106"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105">
        <w:r>
          <w:rPr>
            <w:rStyle w:val="Hyperlink"/>
          </w:rPr>
          <w:t xml:space="preserve">10.3390/su6096024</w:t>
        </w:r>
      </w:hyperlink>
      <w:r>
        <w:t xml:space="preserve">.</w:t>
      </w:r>
    </w:p>
    <w:bookmarkEnd w:id="106"/>
    <w:bookmarkStart w:id="107"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107"/>
    <w:bookmarkStart w:id="109"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108">
        <w:r>
          <w:rPr>
            <w:rStyle w:val="Hyperlink"/>
          </w:rPr>
          <w:t xml:space="preserve">10.5751/ES-02784-140145</w:t>
        </w:r>
      </w:hyperlink>
      <w:r>
        <w:t xml:space="preserve">.</w:t>
      </w:r>
    </w:p>
    <w:bookmarkEnd w:id="109"/>
    <w:bookmarkStart w:id="111"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110">
        <w:r>
          <w:rPr>
            <w:rStyle w:val="Hyperlink"/>
          </w:rPr>
          <w:t xml:space="preserve">10.1139/facets-2025-0031</w:t>
        </w:r>
      </w:hyperlink>
      <w:r>
        <w:t xml:space="preserve">.</w:t>
      </w:r>
    </w:p>
    <w:bookmarkEnd w:id="111"/>
    <w:bookmarkStart w:id="113"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12">
        <w:r>
          <w:rPr>
            <w:rStyle w:val="Hyperlink"/>
          </w:rPr>
          <w:t xml:space="preserve">10.3233/EPL-2002-32_5_13</w:t>
        </w:r>
      </w:hyperlink>
      <w:r>
        <w:t xml:space="preserve">.</w:t>
      </w:r>
    </w:p>
    <w:bookmarkEnd w:id="113"/>
    <w:bookmarkStart w:id="115"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14">
        <w:r>
          <w:rPr>
            <w:rStyle w:val="Hyperlink"/>
          </w:rPr>
          <w:t xml:space="preserve">https://www.canlii.org/</w:t>
        </w:r>
      </w:hyperlink>
      <w:r>
        <w:t xml:space="preserve"> </w:t>
      </w:r>
      <w:r>
        <w:t xml:space="preserve">[accessed 18 December 2025].</w:t>
      </w:r>
    </w:p>
    <w:bookmarkEnd w:id="115"/>
    <w:bookmarkStart w:id="117"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w:t>
      </w:r>
      <w:r>
        <w:t xml:space="preserve"> </w:t>
      </w:r>
      <w:r>
        <w:t xml:space="preserve">Pacific</w:t>
      </w:r>
      <w:r>
        <w:t xml:space="preserve"> </w:t>
      </w:r>
      <w:r>
        <w:t xml:space="preserve">salmon populations in a large watershed under multiple stressors. Journal of Applied Ecology</w:t>
      </w:r>
      <w:r>
        <w:t xml:space="preserve"> </w:t>
      </w:r>
      <w:r>
        <w:rPr>
          <w:b/>
          <w:bCs/>
        </w:rPr>
        <w:t xml:space="preserve">59</w:t>
      </w:r>
      <w:r>
        <w:t xml:space="preserve">(9): 2212–2226. doi:</w:t>
      </w:r>
      <w:hyperlink r:id="rId116">
        <w:r>
          <w:rPr>
            <w:rStyle w:val="Hyperlink"/>
          </w:rPr>
          <w:t xml:space="preserve">10.1111/1365-2664.14239</w:t>
        </w:r>
      </w:hyperlink>
      <w:r>
        <w:t xml:space="preserve">.</w:t>
      </w:r>
    </w:p>
    <w:bookmarkEnd w:id="117"/>
    <w:bookmarkStart w:id="119" w:name="ref-cohen2012"/>
    <w:p>
      <w:pPr>
        <w:pStyle w:val="Bibliography"/>
      </w:pPr>
      <w:r>
        <w:t xml:space="preserve">Cohen, B.I. 2012. Commission of</w:t>
      </w:r>
      <w:r>
        <w:t xml:space="preserve"> </w:t>
      </w:r>
      <w:r>
        <w:t xml:space="preserve">Inquiry</w:t>
      </w:r>
      <w:r>
        <w:t xml:space="preserve"> </w:t>
      </w:r>
      <w:r>
        <w:t xml:space="preserve">into the</w:t>
      </w:r>
      <w:r>
        <w:t xml:space="preserve"> </w:t>
      </w:r>
      <w:r>
        <w:t xml:space="preserve">Decline</w:t>
      </w:r>
      <w:r>
        <w:t xml:space="preserve"> </w:t>
      </w:r>
      <w:r>
        <w:t xml:space="preserve">of</w:t>
      </w:r>
      <w:r>
        <w:t xml:space="preserve"> </w:t>
      </w:r>
      <w:r>
        <w:t xml:space="preserve">Sockeye Salmon</w:t>
      </w:r>
      <w:r>
        <w:t xml:space="preserve"> </w:t>
      </w:r>
      <w:r>
        <w:t xml:space="preserve">in the</w:t>
      </w:r>
      <w:r>
        <w:t xml:space="preserve"> </w:t>
      </w:r>
      <w:r>
        <w:t xml:space="preserve">Fraser River</w:t>
      </w:r>
      <w:r>
        <w:t xml:space="preserve"> </w:t>
      </w:r>
      <w:r>
        <w:t xml:space="preserve">(</w:t>
      </w:r>
      <w:r>
        <w:t xml:space="preserve">Canada</w:t>
      </w:r>
      <w:r>
        <w:t xml:space="preserve">):</w:t>
      </w:r>
      <w:r>
        <w:t xml:space="preserve"> </w:t>
      </w:r>
      <w:r>
        <w:t xml:space="preserve">The</w:t>
      </w:r>
      <w:r>
        <w:t xml:space="preserve"> </w:t>
      </w:r>
      <w:r>
        <w:t xml:space="preserve">uncertain future of</w:t>
      </w:r>
      <w:r>
        <w:t xml:space="preserve"> </w:t>
      </w:r>
      <w:r>
        <w:t xml:space="preserve">Fraser River</w:t>
      </w:r>
      <w:r>
        <w:t xml:space="preserve"> </w:t>
      </w:r>
      <w:r>
        <w:t xml:space="preserve">sockeye.</w:t>
      </w:r>
      <w:r>
        <w:t xml:space="preserve"> </w:t>
      </w:r>
      <w:r>
        <w:t xml:space="preserve">Volume</w:t>
      </w:r>
      <w:r>
        <w:t xml:space="preserve"> </w:t>
      </w:r>
      <w:r>
        <w:t xml:space="preserve">3,</w:t>
      </w:r>
      <w:r>
        <w:t xml:space="preserve"> </w:t>
      </w:r>
      <w:r>
        <w:t xml:space="preserve">Recommendations</w:t>
      </w:r>
      <w:r>
        <w:t xml:space="preserve">, summary, process : Final report.</w:t>
      </w:r>
      <w:r>
        <w:t xml:space="preserve"> </w:t>
      </w:r>
      <w:r>
        <w:t xml:space="preserve">Privy Council Office, Minister of Public Works and Government Services Canada</w:t>
      </w:r>
      <w:r>
        <w:t xml:space="preserve">, Ottawa, ON. Available from</w:t>
      </w:r>
      <w:r>
        <w:t xml:space="preserve"> </w:t>
      </w:r>
      <w:hyperlink r:id="rId118">
        <w:r>
          <w:rPr>
            <w:rStyle w:val="Hyperlink"/>
          </w:rPr>
          <w:t xml:space="preserve">https://publications.gc.ca/collections/collection_2012/bcp-pco/CP32-93-2012-3-eng.pdf</w:t>
        </w:r>
      </w:hyperlink>
      <w:r>
        <w:t xml:space="preserve">.</w:t>
      </w:r>
    </w:p>
    <w:bookmarkEnd w:id="119"/>
    <w:bookmarkStart w:id="120"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20"/>
    <w:bookmarkStart w:id="122" w:name="ref-cosewic2023"/>
    <w:p>
      <w:pPr>
        <w:pStyle w:val="Bibliography"/>
      </w:pPr>
      <w:r>
        <w:t xml:space="preserve">COSEWIC. 2023.</w:t>
      </w:r>
      <w:r>
        <w:t xml:space="preserve"> </w:t>
      </w:r>
      <w:r>
        <w:t xml:space="preserve">COSEWIC</w:t>
      </w:r>
      <w:r>
        <w:t xml:space="preserve"> </w:t>
      </w:r>
      <w:r>
        <w:t xml:space="preserve">guidelines for recognizing designatable units. COSEWIC guidelines for recognizing designatable units;</w:t>
      </w:r>
      <w:r>
        <w:t xml:space="preserve"> </w:t>
      </w:r>
      <w:r>
        <w:t xml:space="preserve">Canadian Wildlife Service, Environment and Climate Change Canada</w:t>
      </w:r>
      <w:r>
        <w:t xml:space="preserve">, Gatineau, QC. Available from</w:t>
      </w:r>
      <w:r>
        <w:t xml:space="preserve"> </w:t>
      </w:r>
      <w:hyperlink r:id="rId121">
        <w:r>
          <w:rPr>
            <w:rStyle w:val="Hyperlink"/>
          </w:rPr>
          <w:t xml:space="preserve">https://cosewic.ca/index.php/en/reports/preparing-status-reports/guidelines-recognizing-designatable-units.html</w:t>
        </w:r>
      </w:hyperlink>
      <w:r>
        <w:t xml:space="preserve">.</w:t>
      </w:r>
    </w:p>
    <w:bookmarkEnd w:id="122"/>
    <w:bookmarkStart w:id="124"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23">
        <w:r>
          <w:rPr>
            <w:rStyle w:val="Hyperlink"/>
          </w:rPr>
          <w:t xml:space="preserve">10.1016/j.tree.2014.12.004</w:t>
        </w:r>
      </w:hyperlink>
      <w:r>
        <w:t xml:space="preserve">.</w:t>
      </w:r>
    </w:p>
    <w:bookmarkEnd w:id="124"/>
    <w:bookmarkStart w:id="126" w:name="ref-delvalle2024"/>
    <w:p>
      <w:pPr>
        <w:pStyle w:val="Bibliography"/>
      </w:pPr>
      <w:r>
        <w:t xml:space="preserve">Del Valle, E., Neal, B., Martínez-Candelas, I., Dann, P., Webb, D., and McClenachan, L. 2024. Fishing in turbulent waters: Resilience, risk, and trust in</w:t>
      </w:r>
      <w:r>
        <w:t xml:space="preserve"> </w:t>
      </w:r>
      <w:r>
        <w:t xml:space="preserve">British Columbia</w:t>
      </w:r>
      <w:r>
        <w:t xml:space="preserve">’s declining commercial salmon fishery. FACETS</w:t>
      </w:r>
      <w:r>
        <w:t xml:space="preserve"> </w:t>
      </w:r>
      <w:r>
        <w:rPr>
          <w:b/>
          <w:bCs/>
        </w:rPr>
        <w:t xml:space="preserve">9</w:t>
      </w:r>
      <w:r>
        <w:t xml:space="preserve">: 1–17. doi:</w:t>
      </w:r>
      <w:hyperlink r:id="rId125">
        <w:r>
          <w:rPr>
            <w:rStyle w:val="Hyperlink"/>
          </w:rPr>
          <w:t xml:space="preserve">10.1139/facets-2023-0204</w:t>
        </w:r>
      </w:hyperlink>
      <w:r>
        <w:t xml:space="preserve">.</w:t>
      </w:r>
    </w:p>
    <w:bookmarkEnd w:id="126"/>
    <w:bookmarkStart w:id="128"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27">
        <w:r>
          <w:rPr>
            <w:rStyle w:val="Hyperlink"/>
          </w:rPr>
          <w:t xml:space="preserve">https://www.justice.gc.ca/eng/rp-pr/csj-sjc/legis-redact/legistics/p3p1.html</w:t>
        </w:r>
      </w:hyperlink>
      <w:r>
        <w:t xml:space="preserve"> </w:t>
      </w:r>
      <w:r>
        <w:t xml:space="preserve">[accessed 18 December 2025].</w:t>
      </w:r>
    </w:p>
    <w:bookmarkEnd w:id="128"/>
    <w:bookmarkStart w:id="130" w:name="ref-departmentofjusticecanada2026"/>
    <w:p>
      <w:pPr>
        <w:pStyle w:val="Bibliography"/>
      </w:pPr>
      <w:r>
        <w:t xml:space="preserve">Department of Justice Canada. 2026, January 13. Table of</w:t>
      </w:r>
      <w:r>
        <w:t xml:space="preserve"> </w:t>
      </w:r>
      <w:r>
        <w:t xml:space="preserve">Public Statutes</w:t>
      </w:r>
      <w:r>
        <w:t xml:space="preserve"> </w:t>
      </w:r>
      <w:r>
        <w:t xml:space="preserve">and</w:t>
      </w:r>
      <w:r>
        <w:t xml:space="preserve"> </w:t>
      </w:r>
      <w:r>
        <w:t xml:space="preserve">Responsible Ministers</w:t>
      </w:r>
      <w:r>
        <w:t xml:space="preserve">. Table of Public Statutes; Responsible Ministers. Available from</w:t>
      </w:r>
      <w:r>
        <w:t xml:space="preserve"> </w:t>
      </w:r>
      <w:hyperlink r:id="rId129">
        <w:r>
          <w:rPr>
            <w:rStyle w:val="Hyperlink"/>
          </w:rPr>
          <w:t xml:space="preserve">https://laws-lois.justice.gc.ca/PDF/tops/eng/TOPS.pdf</w:t>
        </w:r>
      </w:hyperlink>
      <w:r>
        <w:t xml:space="preserve"> </w:t>
      </w:r>
      <w:r>
        <w:t xml:space="preserve">[accessed 13 January 2026].</w:t>
      </w:r>
    </w:p>
    <w:bookmarkEnd w:id="130"/>
    <w:bookmarkStart w:id="132" w:name="ref-dfo2005"/>
    <w:p>
      <w:pPr>
        <w:pStyle w:val="Bibliography"/>
      </w:pPr>
      <w:r>
        <w:t xml:space="preserve">DFO. 2005. Canada’s policy for conservation of wild pacific salmon.</w:t>
      </w:r>
      <w:r>
        <w:t xml:space="preserve"> </w:t>
      </w:r>
      <w:r>
        <w:t xml:space="preserve">Fisheries and Oceans Canada</w:t>
      </w:r>
      <w:r>
        <w:t xml:space="preserve">, Vancouver, BC. Available from</w:t>
      </w:r>
      <w:r>
        <w:t xml:space="preserve"> </w:t>
      </w:r>
      <w:hyperlink r:id="rId131">
        <w:r>
          <w:rPr>
            <w:rStyle w:val="Hyperlink"/>
          </w:rPr>
          <w:t xml:space="preserve">https://waves-vagues.dfo-mpo.gc.ca/library-bibliotheque/315577.pdf</w:t>
        </w:r>
      </w:hyperlink>
      <w:r>
        <w:t xml:space="preserve">.</w:t>
      </w:r>
    </w:p>
    <w:bookmarkEnd w:id="132"/>
    <w:bookmarkStart w:id="133" w:name="ref-dfo2019"/>
    <w:p>
      <w:pPr>
        <w:pStyle w:val="Bibliography"/>
      </w:pPr>
      <w:r>
        <w:t xml:space="preserve">DFO. 2019. Recovery</w:t>
      </w:r>
      <w:r>
        <w:t xml:space="preserve"> </w:t>
      </w:r>
      <w:r>
        <w:t xml:space="preserve">Potential Assessment</w:t>
      </w:r>
      <w:r>
        <w:t xml:space="preserve"> </w:t>
      </w:r>
      <w:r>
        <w:t xml:space="preserve">–</w:t>
      </w:r>
      <w:r>
        <w:t xml:space="preserve"> </w:t>
      </w:r>
      <w:r>
        <w:t xml:space="preserve">Cultus Lake Sockeye Salmon</w:t>
      </w:r>
      <w:r>
        <w:t xml:space="preserve"> </w:t>
      </w:r>
      <w:r>
        <w:t xml:space="preserve">(</w:t>
      </w:r>
      <w:r>
        <w:t xml:space="preserve">Oncorhynchus</w:t>
      </w:r>
      <w:r>
        <w:t xml:space="preserve"> </w:t>
      </w:r>
      <w:r>
        <w:t xml:space="preserve">nerka). Science Advisory Report</w:t>
      </w:r>
      <w:r>
        <w:t xml:space="preserve"> </w:t>
      </w:r>
      <w:r>
        <w:rPr>
          <w:b/>
          <w:bCs/>
        </w:rPr>
        <w:t xml:space="preserve">2020/011</w:t>
      </w:r>
      <w:r>
        <w:t xml:space="preserve">. Canadian Science Advisory Secretariat.</w:t>
      </w:r>
    </w:p>
    <w:bookmarkEnd w:id="133"/>
    <w:bookmarkStart w:id="135" w:name="ref-dfo2020"/>
    <w:p>
      <w:pPr>
        <w:pStyle w:val="Bibliography"/>
      </w:pPr>
      <w:r>
        <w:t xml:space="preserve">DFO. 2020. Recovery</w:t>
      </w:r>
      <w:r>
        <w:t xml:space="preserve"> </w:t>
      </w:r>
      <w:r>
        <w:t xml:space="preserve">Potentail Assessment</w:t>
      </w:r>
      <w:r>
        <w:t xml:space="preserve"> </w:t>
      </w:r>
      <w:r>
        <w:t xml:space="preserve">for 11</w:t>
      </w:r>
      <w:r>
        <w:t xml:space="preserve"> </w:t>
      </w:r>
      <w:r>
        <w:t xml:space="preserve">Designatable Uits</w:t>
      </w:r>
      <w:r>
        <w:t xml:space="preserve"> </w:t>
      </w:r>
      <w:r>
        <w:t xml:space="preserve">of</w:t>
      </w:r>
      <w:r>
        <w:t xml:space="preserve"> </w:t>
      </w:r>
      <w:r>
        <w:t xml:space="preserve">Fraser River Chinook</w:t>
      </w:r>
      <w:r>
        <w:t xml:space="preserve"> </w:t>
      </w:r>
      <w:r>
        <w:t xml:space="preserve">salmon,</w:t>
      </w:r>
      <w:r>
        <w:t xml:space="preserve"> </w:t>
      </w:r>
      <w:r>
        <w:t xml:space="preserve">Oncorhynchus Tshawytcha</w:t>
      </w:r>
      <w:r>
        <w:t xml:space="preserve">,</w:t>
      </w:r>
      <w:r>
        <w:t xml:space="preserve"> </w:t>
      </w:r>
      <w:r>
        <w:t xml:space="preserve">Part</w:t>
      </w:r>
      <w:r>
        <w:t xml:space="preserve"> </w:t>
      </w:r>
      <w:r>
        <w:t xml:space="preserve">1:</w:t>
      </w:r>
      <w:r>
        <w:t xml:space="preserve"> </w:t>
      </w:r>
      <w:r>
        <w:t xml:space="preserve">Elements</w:t>
      </w:r>
      <w:r>
        <w:t xml:space="preserve"> </w:t>
      </w:r>
      <w:r>
        <w:t xml:space="preserve">1 to 11. DFO Can. Sci. Advis. Sec. Sci. Advis. Rep. Available from</w:t>
      </w:r>
      <w:r>
        <w:t xml:space="preserve"> </w:t>
      </w:r>
      <w:hyperlink r:id="rId134">
        <w:r>
          <w:rPr>
            <w:rStyle w:val="Hyperlink"/>
          </w:rPr>
          <w:t xml:space="preserve">https://publications.gc.ca/collections/collection_2020/mpo-dfo/fs70-6/Fs70-6-2020-023-eng.pdf</w:t>
        </w:r>
      </w:hyperlink>
      <w:r>
        <w:t xml:space="preserve">.</w:t>
      </w:r>
    </w:p>
    <w:bookmarkEnd w:id="135"/>
    <w:bookmarkStart w:id="137" w:name="ref-dfo2021"/>
    <w:p>
      <w:pPr>
        <w:pStyle w:val="Bibliography"/>
      </w:pPr>
      <w:r>
        <w:t xml:space="preserve">DFO. 2021. Wild</w:t>
      </w:r>
      <w:r>
        <w:t xml:space="preserve"> </w:t>
      </w:r>
      <w:r>
        <w:t xml:space="preserve">Salmon Policy</w:t>
      </w:r>
      <w:r>
        <w:t xml:space="preserve">: 2018-2022</w:t>
      </w:r>
      <w:r>
        <w:t xml:space="preserve"> </w:t>
      </w:r>
      <w:r>
        <w:t xml:space="preserve">ImplementationPlan</w:t>
      </w:r>
      <w:r>
        <w:t xml:space="preserve">,</w:t>
      </w:r>
      <w:r>
        <w:t xml:space="preserve"> </w:t>
      </w:r>
      <w:r>
        <w:t xml:space="preserve">Annual Report</w:t>
      </w:r>
      <w:r>
        <w:t xml:space="preserve"> </w:t>
      </w:r>
      <w:r>
        <w:t xml:space="preserve">2020-21. Fisheries; Oceans Canada, Vancouver, BC. Available from</w:t>
      </w:r>
      <w:r>
        <w:t xml:space="preserve"> </w:t>
      </w:r>
      <w:hyperlink r:id="rId136">
        <w:r>
          <w:rPr>
            <w:rStyle w:val="Hyperlink"/>
          </w:rPr>
          <w:t xml:space="preserve">https://waves-vagues.dfo-mpo.gc.ca/library-bibliotheque/41031209.pdf</w:t>
        </w:r>
      </w:hyperlink>
      <w:r>
        <w:t xml:space="preserve">.</w:t>
      </w:r>
    </w:p>
    <w:bookmarkEnd w:id="137"/>
    <w:bookmarkStart w:id="139" w:name="ref-DFO2022"/>
    <w:p>
      <w:pPr>
        <w:pStyle w:val="Bibliography"/>
      </w:pPr>
      <w:r>
        <w:t xml:space="preserve">DFO. 2022b. Rebuilding plan:</w:t>
      </w:r>
      <w:r>
        <w:t xml:space="preserve"> </w:t>
      </w:r>
      <w:r>
        <w:t xml:space="preserve">Okanagan Chinook Salmon</w:t>
      </w:r>
      <w:r>
        <w:t xml:space="preserve"> </w:t>
      </w:r>
      <w:r>
        <w:t xml:space="preserve">[</w:t>
      </w:r>
      <w:r>
        <w:t xml:space="preserve">Oncorhynchus</w:t>
      </w:r>
      <w:r>
        <w:t xml:space="preserve"> </w:t>
      </w:r>
      <w:r>
        <w:t xml:space="preserve">tshawytscha] [ntytyix | sk’lwis]. Rebuilding plan: Okanagan Chinook Salmon [Oncorhynchus tshawytscha] [ntytyix | sk’lwis];</w:t>
      </w:r>
      <w:r>
        <w:t xml:space="preserve"> </w:t>
      </w:r>
      <w:r>
        <w:t xml:space="preserve">Fisheries and Oceans Canada</w:t>
      </w:r>
      <w:r>
        <w:t xml:space="preserve">, Ottawa, ON. Available from</w:t>
      </w:r>
      <w:r>
        <w:t xml:space="preserve"> </w:t>
      </w:r>
      <w:hyperlink r:id="rId138">
        <w:r>
          <w:rPr>
            <w:rStyle w:val="Hyperlink"/>
          </w:rPr>
          <w:t xml:space="preserve">https://www.dfo-mpo.gc.ca/fisheries-peches/ifmp-gmp/salmon-saumon/2024/okanagan-2024-eng.html</w:t>
        </w:r>
      </w:hyperlink>
      <w:r>
        <w:t xml:space="preserve">.</w:t>
      </w:r>
    </w:p>
    <w:bookmarkEnd w:id="139"/>
    <w:bookmarkStart w:id="141" w:name="ref-dfo2022"/>
    <w:p>
      <w:pPr>
        <w:pStyle w:val="Bibliography"/>
      </w:pPr>
      <w:r>
        <w:t xml:space="preserve">DFO. 2022a. Guidelines for writing rebuilding plans per the</w:t>
      </w:r>
      <w:r>
        <w:t xml:space="preserve"> </w:t>
      </w:r>
      <w:r>
        <w:t xml:space="preserve">Fish Stocks Provisions</w:t>
      </w:r>
      <w:r>
        <w:t xml:space="preserve"> </w:t>
      </w:r>
      <w:r>
        <w:t xml:space="preserve">and</w:t>
      </w:r>
      <w:r>
        <w:t xml:space="preserve"> </w:t>
      </w:r>
      <w:r>
        <w:t xml:space="preserve">A Fishery Decision-making Framework Incorporating</w:t>
      </w:r>
      <w:r>
        <w:t xml:space="preserve"> </w:t>
      </w:r>
      <w:r>
        <w:t xml:space="preserve">the</w:t>
      </w:r>
      <w:r>
        <w:t xml:space="preserve"> </w:t>
      </w:r>
      <w:r>
        <w:t xml:space="preserve">Precautionary Approach</w:t>
      </w:r>
      <w:r>
        <w:t xml:space="preserve">. Guidelines for writing rebuilding plans per the Fish Stocks Provisions; A Fishery Decision-making Framework Incorporating the Precautionary Approach;</w:t>
      </w:r>
      <w:r>
        <w:t xml:space="preserve"> </w:t>
      </w:r>
      <w:r>
        <w:t xml:space="preserve">Fisheries and Oceans Canada</w:t>
      </w:r>
      <w:r>
        <w:t xml:space="preserve">, Ottawa, ON. Available from</w:t>
      </w:r>
      <w:r>
        <w:t xml:space="preserve"> </w:t>
      </w:r>
      <w:hyperlink r:id="rId140">
        <w:r>
          <w:rPr>
            <w:rStyle w:val="Hyperlink"/>
          </w:rPr>
          <w:t xml:space="preserve">https://www.dfo-mpo.gc.ca/reports-rapports/regs/sff-cpd/precautionary-precaution-eng.htm</w:t>
        </w:r>
      </w:hyperlink>
      <w:r>
        <w:t xml:space="preserve">.</w:t>
      </w:r>
    </w:p>
    <w:bookmarkEnd w:id="141"/>
    <w:bookmarkStart w:id="143" w:name="ref-dfo2024"/>
    <w:p>
      <w:pPr>
        <w:pStyle w:val="Bibliography"/>
      </w:pPr>
      <w:r>
        <w:t xml:space="preserve">DFO. 2024. Trilateral declaration on the urgent need to address wild</w:t>
      </w:r>
      <w:r>
        <w:t xml:space="preserve"> </w:t>
      </w:r>
      <w:r>
        <w:t xml:space="preserve">Pacific</w:t>
      </w:r>
      <w:r>
        <w:t xml:space="preserve"> </w:t>
      </w:r>
      <w:r>
        <w:t xml:space="preserve">salmon populations in</w:t>
      </w:r>
      <w:r>
        <w:t xml:space="preserve"> </w:t>
      </w:r>
      <w:r>
        <w:t xml:space="preserve">British Columbia</w:t>
      </w:r>
      <w:r>
        <w:t xml:space="preserve">. Trilateral declaration on the urgent need to address wild Pacific salmon populations in British Columbia;</w:t>
      </w:r>
      <w:r>
        <w:t xml:space="preserve"> </w:t>
      </w:r>
      <w:r>
        <w:t xml:space="preserve">Fisheries and Oceans Canada</w:t>
      </w:r>
      <w:r>
        <w:t xml:space="preserve">. Available from</w:t>
      </w:r>
      <w:r>
        <w:t xml:space="preserve"> </w:t>
      </w:r>
      <w:hyperlink r:id="rId142">
        <w:r>
          <w:rPr>
            <w:rStyle w:val="Hyperlink"/>
          </w:rPr>
          <w:t xml:space="preserve">https://www.pac.dfo-mpo.gc.ca/fm-gp/salmon-saumon/docs/trilat-agreement-accord/declaration-eng.html</w:t>
        </w:r>
      </w:hyperlink>
      <w:r>
        <w:t xml:space="preserve">.</w:t>
      </w:r>
    </w:p>
    <w:bookmarkEnd w:id="143"/>
    <w:bookmarkStart w:id="144" w:name="ref-dfo2025"/>
    <w:p>
      <w:pPr>
        <w:pStyle w:val="Bibliography"/>
      </w:pPr>
      <w:r>
        <w:t xml:space="preserve">DFO. 2025. Rebuilding plan:</w:t>
      </w:r>
      <w:r>
        <w:t xml:space="preserve"> </w:t>
      </w:r>
      <w:r>
        <w:t xml:space="preserve">West Coast</w:t>
      </w:r>
      <w:r>
        <w:t xml:space="preserve"> </w:t>
      </w:r>
      <w:r>
        <w:t xml:space="preserve">of</w:t>
      </w:r>
      <w:r>
        <w:t xml:space="preserve"> </w:t>
      </w:r>
      <w:r>
        <w:t xml:space="preserve">Vancouver Island Chinook</w:t>
      </w:r>
      <w:r>
        <w:t xml:space="preserve">,</w:t>
      </w:r>
      <w:r>
        <w:t xml:space="preserve"> </w:t>
      </w:r>
      <w:r>
        <w:t xml:space="preserve">Oncorhynchus</w:t>
      </w:r>
      <w:r>
        <w:t xml:space="preserve"> </w:t>
      </w:r>
      <w:r>
        <w:t xml:space="preserve">tshawystcha,</w:t>
      </w:r>
      <w:r>
        <w:t xml:space="preserve"> </w:t>
      </w:r>
      <w:r>
        <w:t xml:space="preserve">Suuhaa</w:t>
      </w:r>
      <w:r>
        <w:t xml:space="preserve"> </w:t>
      </w:r>
      <w:r>
        <w:t xml:space="preserve">|</w:t>
      </w:r>
      <w:r>
        <w:t xml:space="preserve"> </w:t>
      </w:r>
      <w:r>
        <w:t xml:space="preserve">SȾOḰI</w:t>
      </w:r>
      <w:r>
        <w:t xml:space="preserve"> </w:t>
      </w:r>
      <w:r>
        <w:t xml:space="preserve">| sat’sam.</w:t>
      </w:r>
      <w:r>
        <w:t xml:space="preserve"> </w:t>
      </w:r>
      <w:r>
        <w:t xml:space="preserve">Fisheries and Oceans Canada</w:t>
      </w:r>
      <w:r>
        <w:t xml:space="preserve">, Vancouver, BC.</w:t>
      </w:r>
    </w:p>
    <w:bookmarkEnd w:id="144"/>
    <w:bookmarkStart w:id="145"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45"/>
    <w:bookmarkStart w:id="146" w:name="ref-doutaz2023"/>
    <w:p>
      <w:pPr>
        <w:pStyle w:val="Bibliography"/>
      </w:pPr>
      <w:r>
        <w:t xml:space="preserve">Doutaz, D., Ann-Marie Huang, Scott Decker, and Tanya Vivian. 2023. Recovery potential assessment for</w:t>
      </w:r>
      <w:r>
        <w:t xml:space="preserve"> </w:t>
      </w:r>
      <w:r>
        <w:t xml:space="preserve">Fraser River</w:t>
      </w:r>
      <w:r>
        <w:t xml:space="preserve"> </w:t>
      </w:r>
      <w:r>
        <w:t xml:space="preserve">sockeye salmon (</w:t>
      </w:r>
      <w:r>
        <w:t xml:space="preserve">Oncorhynchus</w:t>
      </w:r>
      <w:r>
        <w:t xml:space="preserve"> </w:t>
      </w:r>
      <w:r>
        <w:t xml:space="preserve">nerka), nine designatable units part 2: Biology, habitat, threats, mitigations and allowable harm - elements 1-11, 14, 16-18, 22. Canadian Science Advisory Secretariat (CSAS), Ottawa ON.</w:t>
      </w:r>
    </w:p>
    <w:bookmarkEnd w:id="146"/>
    <w:bookmarkStart w:id="148" w:name="ref-frpa2002"/>
    <w:p>
      <w:pPr>
        <w:pStyle w:val="Bibliography"/>
      </w:pPr>
      <w:r>
        <w:t xml:space="preserve">Government of British Columbia. 2002. Forest and</w:t>
      </w:r>
      <w:r>
        <w:t xml:space="preserve"> </w:t>
      </w:r>
      <w:r>
        <w:t xml:space="preserve">Range Practices Act</w:t>
      </w:r>
      <w:r>
        <w:t xml:space="preserve">. Available from</w:t>
      </w:r>
      <w:r>
        <w:t xml:space="preserve"> </w:t>
      </w:r>
      <w:hyperlink r:id="rId147">
        <w:r>
          <w:rPr>
            <w:rStyle w:val="Hyperlink"/>
          </w:rPr>
          <w:t xml:space="preserve">https://www.bclaws.gov.bc.ca/civix/document/id/complete/statreg/02069_01</w:t>
        </w:r>
      </w:hyperlink>
      <w:r>
        <w:t xml:space="preserve">.</w:t>
      </w:r>
    </w:p>
    <w:bookmarkEnd w:id="148"/>
    <w:bookmarkStart w:id="150" w:name="ref-grant2019"/>
    <w:p>
      <w:pPr>
        <w:pStyle w:val="Bibliography"/>
      </w:pPr>
      <w:r>
        <w:t xml:space="preserve">Grant, S.C.H., Bronwyn L. MacDonald, and Mark L. Winston. 2019. State of the</w:t>
      </w:r>
      <w:r>
        <w:t xml:space="preserve"> </w:t>
      </w:r>
      <w:r>
        <w:t xml:space="preserve">Canadian Pacific</w:t>
      </w:r>
      <w:r>
        <w:t xml:space="preserve"> </w:t>
      </w:r>
      <w:r>
        <w:t xml:space="preserve">salmon: Response to changing climate and habitats.</w:t>
      </w:r>
      <w:r>
        <w:t xml:space="preserve"> </w:t>
      </w:r>
      <w:r>
        <w:t xml:space="preserve">Department of Fisheries and Oceans</w:t>
      </w:r>
      <w:r>
        <w:t xml:space="preserve">, Nanaimo, British Columbia. Available from</w:t>
      </w:r>
      <w:r>
        <w:t xml:space="preserve"> </w:t>
      </w:r>
      <w:hyperlink r:id="rId149">
        <w:r>
          <w:rPr>
            <w:rStyle w:val="Hyperlink"/>
          </w:rPr>
          <w:t xml:space="preserve">https://waves-vagues.dfo-mpo.gc.ca/library-bibliotheque/40807071.pdf</w:t>
        </w:r>
      </w:hyperlink>
      <w:r>
        <w:t xml:space="preserve">.</w:t>
      </w:r>
    </w:p>
    <w:bookmarkEnd w:id="150"/>
    <w:bookmarkStart w:id="152"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51">
        <w:r>
          <w:rPr>
            <w:rStyle w:val="Hyperlink"/>
          </w:rPr>
          <w:t xml:space="preserve">10.1139/facets-2020-0084</w:t>
        </w:r>
      </w:hyperlink>
      <w:r>
        <w:t xml:space="preserve">.</w:t>
      </w:r>
    </w:p>
    <w:bookmarkEnd w:id="152"/>
    <w:bookmarkStart w:id="153" w:name="ref-mahony2019"/>
    <w:p>
      <w:pPr>
        <w:pStyle w:val="Bibliography"/>
      </w:pPr>
      <w:r>
        <w:t xml:space="preserve">Mahony, A., Challenger, W., Robichaud, D., Wright, H., Bussanich, R., Sharma, R., and Enns, J. 2019. Recovery</w:t>
      </w:r>
      <w:r>
        <w:t xml:space="preserve"> </w:t>
      </w:r>
      <w:r>
        <w:t xml:space="preserve">Potential Assessment</w:t>
      </w:r>
      <w:r>
        <w:t xml:space="preserve"> </w:t>
      </w:r>
      <w:r>
        <w:t xml:space="preserve">for the</w:t>
      </w:r>
      <w:r>
        <w:t xml:space="preserve"> </w:t>
      </w:r>
      <w:r>
        <w:t xml:space="preserve">Okanagan Chinook Salmon</w:t>
      </w:r>
      <w:r>
        <w:t xml:space="preserve"> </w:t>
      </w:r>
      <w:r>
        <w:t xml:space="preserve">(</w:t>
      </w:r>
      <w:r>
        <w:t xml:space="preserve">Oncorhynchus</w:t>
      </w:r>
      <w:r>
        <w:t xml:space="preserve"> </w:t>
      </w:r>
      <w:r>
        <w:t xml:space="preserve">tshawytscha) (2019).</w:t>
      </w:r>
    </w:p>
    <w:bookmarkEnd w:id="153"/>
    <w:bookmarkStart w:id="154"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54"/>
    <w:bookmarkStart w:id="156"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55">
        <w:r>
          <w:rPr>
            <w:rStyle w:val="Hyperlink"/>
          </w:rPr>
          <w:t xml:space="preserve">10.1016/j.biocon.2013.07.006</w:t>
        </w:r>
      </w:hyperlink>
      <w:r>
        <w:t xml:space="preserve">.</w:t>
      </w:r>
    </w:p>
    <w:bookmarkEnd w:id="156"/>
    <w:bookmarkStart w:id="158" w:name="ref-mcdonald2021"/>
    <w:p>
      <w:pPr>
        <w:pStyle w:val="Bibliography"/>
      </w:pPr>
      <w:r>
        <w:t xml:space="preserve">McDonald, K. 2021. Pacific</w:t>
      </w:r>
      <w:r>
        <w:t xml:space="preserve"> </w:t>
      </w:r>
      <w:r>
        <w:t xml:space="preserve">Salmon</w:t>
      </w:r>
      <w:r>
        <w:t xml:space="preserve">:</w:t>
      </w:r>
      <w:r>
        <w:t xml:space="preserve"> </w:t>
      </w:r>
      <w:r>
        <w:t xml:space="preserve">Ensuring</w:t>
      </w:r>
      <w:r>
        <w:t xml:space="preserve"> </w:t>
      </w:r>
      <w:r>
        <w:t xml:space="preserve">the</w:t>
      </w:r>
      <w:r>
        <w:t xml:space="preserve"> </w:t>
      </w:r>
      <w:r>
        <w:t xml:space="preserve">Long-term Health</w:t>
      </w:r>
      <w:r>
        <w:t xml:space="preserve"> </w:t>
      </w:r>
      <w:r>
        <w:t xml:space="preserve">of</w:t>
      </w:r>
      <w:r>
        <w:t xml:space="preserve"> </w:t>
      </w:r>
      <w:r>
        <w:t xml:space="preserve">Wild Populations</w:t>
      </w:r>
      <w:r>
        <w:t xml:space="preserve"> </w:t>
      </w:r>
      <w:r>
        <w:t xml:space="preserve">and</w:t>
      </w:r>
      <w:r>
        <w:t xml:space="preserve"> </w:t>
      </w:r>
      <w:r>
        <w:t xml:space="preserve">Associated Fisheries</w:t>
      </w:r>
      <w:r>
        <w:t xml:space="preserve">. House of Commons Canada, Ottawa, ON. Available from</w:t>
      </w:r>
      <w:r>
        <w:t xml:space="preserve"> </w:t>
      </w:r>
      <w:hyperlink r:id="rId157">
        <w:r>
          <w:rPr>
            <w:rStyle w:val="Hyperlink"/>
          </w:rPr>
          <w:t xml:space="preserve">https://publications.gc.ca/collections/collection_2021/parl/xc51-1/XC51-1-1-432-5-eng.pdf</w:t>
        </w:r>
      </w:hyperlink>
      <w:r>
        <w:t xml:space="preserve">.</w:t>
      </w:r>
    </w:p>
    <w:bookmarkEnd w:id="158"/>
    <w:bookmarkStart w:id="160" w:name="ref-fisheriesact1985"/>
    <w:p>
      <w:pPr>
        <w:pStyle w:val="Bibliography"/>
      </w:pPr>
      <w:r>
        <w:t xml:space="preserve">Minister of Justice Canada. 1985. Fisheries</w:t>
      </w:r>
      <w:r>
        <w:t xml:space="preserve"> </w:t>
      </w:r>
      <w:r>
        <w:t xml:space="preserve">Act</w:t>
      </w:r>
      <w:r>
        <w:t xml:space="preserve">. Available from</w:t>
      </w:r>
      <w:r>
        <w:t xml:space="preserve"> </w:t>
      </w:r>
      <w:hyperlink r:id="rId159">
        <w:r>
          <w:rPr>
            <w:rStyle w:val="Hyperlink"/>
          </w:rPr>
          <w:t xml:space="preserve">https://laws-lois.justice.gc.ca/PDF/F-14.pdf</w:t>
        </w:r>
      </w:hyperlink>
      <w:r>
        <w:t xml:space="preserve">.</w:t>
      </w:r>
    </w:p>
    <w:bookmarkEnd w:id="160"/>
    <w:bookmarkStart w:id="162" w:name="ref-moore2025"/>
    <w:p>
      <w:pPr>
        <w:pStyle w:val="Bibliography"/>
      </w:pPr>
      <w:r>
        <w:t xml:space="preserve">Moore, J.W., Ulaski, M.E., Wilson, K.L., Martin, T.G., Kuiper, S.D., Peacock, S.J., Braun, D.C., Naman, S.M., Pitman, K.J., Reid, A.J., Rosenfeld, J.S., Sainsbury, N.C., Wilson, S.M., and Zdasiuk, B.J. 2025. A</w:t>
      </w:r>
      <w:r>
        <w:t xml:space="preserve"> </w:t>
      </w:r>
      <w:r>
        <w:t xml:space="preserve">Safe Operating Space</w:t>
      </w:r>
      <w:r>
        <w:t xml:space="preserve"> </w:t>
      </w:r>
      <w:r>
        <w:t xml:space="preserve">for</w:t>
      </w:r>
      <w:r>
        <w:t xml:space="preserve"> </w:t>
      </w:r>
      <w:r>
        <w:t xml:space="preserve">Salmon Watersheds Under Rapid Climate Change</w:t>
      </w:r>
      <w:r>
        <w:t xml:space="preserve">. Fish and Fisheries</w:t>
      </w:r>
      <w:r>
        <w:t xml:space="preserve"> </w:t>
      </w:r>
      <w:r>
        <w:rPr>
          <w:b/>
          <w:bCs/>
        </w:rPr>
        <w:t xml:space="preserve">26</w:t>
      </w:r>
      <w:r>
        <w:t xml:space="preserve">(6): 1213–1228. doi:</w:t>
      </w:r>
      <w:hyperlink r:id="rId161">
        <w:r>
          <w:rPr>
            <w:rStyle w:val="Hyperlink"/>
          </w:rPr>
          <w:t xml:space="preserve">10.1111/faf.70027</w:t>
        </w:r>
      </w:hyperlink>
      <w:r>
        <w:t xml:space="preserve">.</w:t>
      </w:r>
    </w:p>
    <w:bookmarkEnd w:id="162"/>
    <w:bookmarkStart w:id="164"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63">
        <w:r>
          <w:rPr>
            <w:rStyle w:val="Hyperlink"/>
          </w:rPr>
          <w:t xml:space="preserve">10.1139/cjfas-2017-0127</w:t>
        </w:r>
      </w:hyperlink>
      <w:r>
        <w:t xml:space="preserve">.</w:t>
      </w:r>
    </w:p>
    <w:bookmarkEnd w:id="164"/>
    <w:bookmarkStart w:id="166" w:name="ref-provinceofbritishcolumbia2025"/>
    <w:p>
      <w:pPr>
        <w:pStyle w:val="Bibliography"/>
      </w:pPr>
      <w:r>
        <w:t xml:space="preserve">Province of British Columbia. 2025. Acts -</w:t>
      </w:r>
      <w:r>
        <w:t xml:space="preserve"> </w:t>
      </w:r>
      <w:r>
        <w:t xml:space="preserve">Ministers</w:t>
      </w:r>
      <w:r>
        <w:t xml:space="preserve">’</w:t>
      </w:r>
      <w:r>
        <w:t xml:space="preserve"> </w:t>
      </w:r>
      <w:r>
        <w:t xml:space="preserve">Responsibilities</w:t>
      </w:r>
      <w:r>
        <w:t xml:space="preserve">. Government of British Columbia. Available from</w:t>
      </w:r>
      <w:r>
        <w:t xml:space="preserve"> </w:t>
      </w:r>
      <w:hyperlink r:id="rId165">
        <w:r>
          <w:rPr>
            <w:rStyle w:val="Hyperlink"/>
          </w:rPr>
          <w:t xml:space="preserve">https://www.bclaws.gov.bc.ca/civix/content/amr/amr/2067365574/?xsl=/templates/browse.xsl</w:t>
        </w:r>
      </w:hyperlink>
      <w:r>
        <w:t xml:space="preserve">.</w:t>
      </w:r>
    </w:p>
    <w:bookmarkEnd w:id="166"/>
    <w:bookmarkStart w:id="168" w:name="ref-ramshaw2019"/>
    <w:p>
      <w:pPr>
        <w:pStyle w:val="Bibliography"/>
      </w:pPr>
      <w:r>
        <w:t xml:space="preserve">Ramshaw, B., Luedke, W., and Korman, J. 2019. Recovery</w:t>
      </w:r>
      <w:r>
        <w:t xml:space="preserve"> </w:t>
      </w:r>
      <w:r>
        <w:t xml:space="preserve">Potential Assessment</w:t>
      </w:r>
      <w:r>
        <w:t xml:space="preserve"> </w:t>
      </w:r>
      <w:r>
        <w:t xml:space="preserve">for the</w:t>
      </w:r>
      <w:r>
        <w:t xml:space="preserve"> </w:t>
      </w:r>
      <w:r>
        <w:t xml:space="preserve">Sakinaw Lake Sockeye Salmon</w:t>
      </w:r>
      <w:r>
        <w:t xml:space="preserve"> </w:t>
      </w:r>
      <w:r>
        <w:t xml:space="preserve">(</w:t>
      </w:r>
      <w:r>
        <w:t xml:space="preserve">Oncorhynchus</w:t>
      </w:r>
      <w:r>
        <w:t xml:space="preserve"> </w:t>
      </w:r>
      <w:r>
        <w:t xml:space="preserve">nerka) (2017).</w:t>
      </w:r>
      <w:r>
        <w:t xml:space="preserve"> </w:t>
      </w:r>
      <w:r>
        <w:rPr>
          <w:i/>
          <w:iCs/>
        </w:rPr>
        <w:t xml:space="preserve">In</w:t>
      </w:r>
      <w:r>
        <w:t xml:space="preserve"> </w:t>
      </w:r>
      <w:r>
        <w:t xml:space="preserve">ix. DFO Can. Sci. Advis. Sec. Res. Doc. Available from</w:t>
      </w:r>
      <w:r>
        <w:t xml:space="preserve"> </w:t>
      </w:r>
      <w:hyperlink r:id="rId167">
        <w:r>
          <w:rPr>
            <w:rStyle w:val="Hyperlink"/>
          </w:rPr>
          <w:t xml:space="preserve">https://publications.gc.ca/collections/collection_2018/mpo-dfo/fs70-6/Fs70-6-2018-042-eng.pdf</w:t>
        </w:r>
      </w:hyperlink>
      <w:r>
        <w:t xml:space="preserve">.</w:t>
      </w:r>
    </w:p>
    <w:bookmarkEnd w:id="168"/>
    <w:bookmarkStart w:id="170"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69">
        <w:r>
          <w:rPr>
            <w:rStyle w:val="Hyperlink"/>
          </w:rPr>
          <w:t xml:space="preserve">10.1139/facets-2020-0075</w:t>
        </w:r>
      </w:hyperlink>
      <w:r>
        <w:t xml:space="preserve">.</w:t>
      </w:r>
    </w:p>
    <w:bookmarkEnd w:id="170"/>
    <w:bookmarkStart w:id="172" w:name="ref-salafsky2024"/>
    <w:p>
      <w:pPr>
        <w:pStyle w:val="Bibliography"/>
      </w:pPr>
      <w:r>
        <w:t xml:space="preserve">Salafsky, N., Relton, C., Young, B.E., Lamarre, P., Böhm, M., Chénier, M., Cochrane, E., Dionne, M., He, K.K., Hilton‐Taylor, C., Latrémouille, C., Morrison, J., Raymond, C.V., Seddon, M., and Suresh, V. 2024. Classification of direct threats to the conservation of ecosystems and species 4.0. Conservation Biology</w:t>
      </w:r>
      <w:r>
        <w:t xml:space="preserve"> </w:t>
      </w:r>
      <w:r>
        <w:rPr>
          <w:b/>
          <w:bCs/>
        </w:rPr>
        <w:t xml:space="preserve">39</w:t>
      </w:r>
      <w:r>
        <w:t xml:space="preserve">(3): e14434. doi:</w:t>
      </w:r>
      <w:hyperlink r:id="rId171">
        <w:r>
          <w:rPr>
            <w:rStyle w:val="Hyperlink"/>
          </w:rPr>
          <w:t xml:space="preserve">10.1111/cobi.14434</w:t>
        </w:r>
      </w:hyperlink>
      <w:r>
        <w:t xml:space="preserve">.</w:t>
      </w:r>
    </w:p>
    <w:bookmarkEnd w:id="172"/>
    <w:bookmarkStart w:id="174"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73">
        <w:r>
          <w:rPr>
            <w:rStyle w:val="Hyperlink"/>
          </w:rPr>
          <w:t xml:space="preserve">10.1111/j.1523-1739.2008.00937.x</w:t>
        </w:r>
      </w:hyperlink>
      <w:r>
        <w:t xml:space="preserve">.</w:t>
      </w:r>
    </w:p>
    <w:bookmarkEnd w:id="174"/>
    <w:bookmarkStart w:id="176"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75">
        <w:r>
          <w:rPr>
            <w:rStyle w:val="Hyperlink"/>
          </w:rPr>
          <w:t xml:space="preserve">10.1139/facets-2022-0095</w:t>
        </w:r>
      </w:hyperlink>
      <w:r>
        <w:t xml:space="preserve">.</w:t>
      </w:r>
    </w:p>
    <w:bookmarkEnd w:id="176"/>
    <w:bookmarkStart w:id="177"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 J. Fish. Res.Board Can (31): 1965–1981.</w:t>
      </w:r>
    </w:p>
    <w:bookmarkEnd w:id="177"/>
    <w:bookmarkStart w:id="179"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78">
        <w:r>
          <w:rPr>
            <w:rStyle w:val="Hyperlink"/>
          </w:rPr>
          <w:t xml:space="preserve">10.1139/facets-2020-0064</w:t>
        </w:r>
      </w:hyperlink>
      <w:r>
        <w:t xml:space="preserve">.</w:t>
      </w:r>
    </w:p>
    <w:bookmarkEnd w:id="179"/>
    <w:bookmarkStart w:id="181"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80">
        <w:r>
          <w:rPr>
            <w:rStyle w:val="Hyperlink"/>
          </w:rPr>
          <w:t xml:space="preserve">10.1139/facets-2024-0348</w:t>
        </w:r>
      </w:hyperlink>
      <w:r>
        <w:t xml:space="preserve">.</w:t>
      </w:r>
    </w:p>
    <w:bookmarkEnd w:id="181"/>
    <w:bookmarkStart w:id="183" w:name="ref-wickham2025"/>
    <w:p>
      <w:pPr>
        <w:pStyle w:val="Bibliography"/>
      </w:pPr>
      <w:r>
        <w:t xml:space="preserve">Wickham, H. 2025. Rvest:</w:t>
      </w:r>
      <w:r>
        <w:t xml:space="preserve"> </w:t>
      </w:r>
      <w:r>
        <w:t xml:space="preserve">Easily Harvest</w:t>
      </w:r>
      <w:r>
        <w:t xml:space="preserve"> </w:t>
      </w:r>
      <w:r>
        <w:t xml:space="preserve">(</w:t>
      </w:r>
      <w:r>
        <w:t xml:space="preserve">Scrape</w:t>
      </w:r>
      <w:r>
        <w:t xml:space="preserve">)</w:t>
      </w:r>
      <w:r>
        <w:t xml:space="preserve"> </w:t>
      </w:r>
      <w:r>
        <w:t xml:space="preserve">Web Pages</w:t>
      </w:r>
      <w:r>
        <w:t xml:space="preserve">. doi:</w:t>
      </w:r>
      <w:hyperlink r:id="rId182">
        <w:r>
          <w:rPr>
            <w:rStyle w:val="Hyperlink"/>
          </w:rPr>
          <w:t xml:space="preserve">10.32614/CRAN.package.rvest</w:t>
        </w:r>
      </w:hyperlink>
      <w:r>
        <w:t xml:space="preserve">.</w:t>
      </w:r>
    </w:p>
    <w:bookmarkEnd w:id="183"/>
    <w:bookmarkStart w:id="185" w:name="ref-wijffels2025"/>
    <w:p>
      <w:pPr>
        <w:pStyle w:val="Bibliography"/>
      </w:pPr>
      <w:r>
        <w:t xml:space="preserve">Wijffels, J. 2025. Udpipe:</w:t>
      </w:r>
      <w:r>
        <w:t xml:space="preserve"> </w:t>
      </w:r>
      <w:r>
        <w:t xml:space="preserve">Tokenization</w:t>
      </w:r>
      <w:r>
        <w:t xml:space="preserve">,</w:t>
      </w:r>
      <w:r>
        <w:t xml:space="preserve"> </w:t>
      </w:r>
      <w:r>
        <w:t xml:space="preserve">Parts</w:t>
      </w:r>
      <w:r>
        <w:t xml:space="preserve"> </w:t>
      </w:r>
      <w:r>
        <w:t xml:space="preserve">of</w:t>
      </w:r>
      <w:r>
        <w:t xml:space="preserve"> </w:t>
      </w:r>
      <w:r>
        <w:t xml:space="preserve">Speech Tagging</w:t>
      </w:r>
      <w:r>
        <w:t xml:space="preserve">,</w:t>
      </w:r>
      <w:r>
        <w:t xml:space="preserve"> </w:t>
      </w:r>
      <w:r>
        <w:t xml:space="preserve">Lemmatization</w:t>
      </w:r>
      <w:r>
        <w:t xml:space="preserve"> </w:t>
      </w:r>
      <w:r>
        <w:t xml:space="preserve">and</w:t>
      </w:r>
      <w:r>
        <w:t xml:space="preserve"> </w:t>
      </w:r>
      <w:r>
        <w:t xml:space="preserve">Dependency Parsing</w:t>
      </w:r>
      <w:r>
        <w:t xml:space="preserve"> </w:t>
      </w:r>
      <w:r>
        <w:t xml:space="preserve">with the ’</w:t>
      </w:r>
      <w:r>
        <w:t xml:space="preserve">UDPipe</w:t>
      </w:r>
      <w:r>
        <w:t xml:space="preserve">’ ’</w:t>
      </w:r>
      <w:r>
        <w:t xml:space="preserve">NLP</w:t>
      </w:r>
      <w:r>
        <w:t xml:space="preserve">’</w:t>
      </w:r>
      <w:r>
        <w:t xml:space="preserve"> </w:t>
      </w:r>
      <w:r>
        <w:t xml:space="preserve">Toolkit</w:t>
      </w:r>
      <w:r>
        <w:t xml:space="preserve">. doi:</w:t>
      </w:r>
      <w:hyperlink r:id="rId184">
        <w:r>
          <w:rPr>
            <w:rStyle w:val="Hyperlink"/>
          </w:rPr>
          <w:t xml:space="preserve">10.32614/CRAN.package.udpipe</w:t>
        </w:r>
      </w:hyperlink>
      <w:r>
        <w:t xml:space="preserve">.</w:t>
      </w:r>
    </w:p>
    <w:bookmarkEnd w:id="185"/>
    <w:bookmarkEnd w:id="186"/>
    <w:bookmarkEnd w:id="187"/>
    <w:bookmarkStart w:id="188" w:name="supplementary-material"/>
    <w:p>
      <w:pPr>
        <w:pStyle w:val="Heading1"/>
      </w:pPr>
      <w:r>
        <w:t xml:space="preserve">Supplementary material</w:t>
      </w:r>
    </w:p>
    <w:p>
      <w:pPr>
        <w:pStyle w:val="Compact"/>
        <w:numPr>
          <w:ilvl w:val="0"/>
          <w:numId w:val="1012"/>
        </w:numPr>
      </w:pPr>
      <w:r>
        <w:rPr>
          <w:b/>
          <w:bCs/>
        </w:rPr>
        <w:t xml:space="preserve">Links or downloads for the LAPSE tool materials (app etc.)</w:t>
      </w:r>
    </w:p>
    <w:bookmarkEnd w:id="188"/>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2774C0"/>
    <w:rsid w:val="00305C7B"/>
    <w:rsid w:val="003446D7"/>
    <w:rsid w:val="0048758A"/>
    <w:rsid w:val="004C64ED"/>
    <w:rsid w:val="00514D89"/>
    <w:rsid w:val="005406A2"/>
    <w:rsid w:val="00564D74"/>
    <w:rsid w:val="005A39EF"/>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3862"/>
    <w:rsid w:val="00BD6F10"/>
    <w:rsid w:val="00D40977"/>
    <w:rsid w:val="00D812E9"/>
    <w:rsid w:val="00DA0A6F"/>
    <w:rsid w:val="00E8194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2774C0"/>
    <w:pPr>
      <w:spacing w:after="200" w:line="240" w:lineRule="auto"/>
      <w:jc w:val="center"/>
    </w:pPr>
    <w:rPr>
      <w:i/>
      <w:iCs/>
      <w:sz w:val="20"/>
      <w:szCs w:val="18"/>
    </w:rPr>
  </w:style>
  <w:style w:customStyle="1" w:styleId="FigureCaptionCustom" w:type="paragraph">
    <w:name w:val="FigureCaptionCustom"/>
    <w:basedOn w:val="Caption"/>
    <w:qFormat/>
    <w:rsid w:val="0048758A"/>
  </w:style>
  <w:style w:styleId="TOCHeading" w:type="paragraph">
    <w:name w:val="TOC Heading"/>
    <w:basedOn w:val="Heading1"/>
    <w:next w:val="Normal"/>
    <w:uiPriority w:val="39"/>
    <w:semiHidden/>
    <w:unhideWhenUsed/>
    <w:qFormat/>
    <w:rsid w:val="005406A2"/>
    <w:pPr>
      <w:spacing w:after="0" w:before="240"/>
      <w:outlineLvl w:val="9"/>
    </w:pPr>
    <w:rPr>
      <w:szCs w:val="32"/>
    </w:rPr>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24" Target="media/rId24.png" /><Relationship Type="http://schemas.openxmlformats.org/officeDocument/2006/relationships/image" Id="rId68" Target="media/rId68.png" /><Relationship Type="http://schemas.openxmlformats.org/officeDocument/2006/relationships/image" Id="rId77" Target="media/rId77.png" /><Relationship Type="http://schemas.openxmlformats.org/officeDocument/2006/relationships/image" Id="rId92" Target="media/rId92.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image" Id="rId88" Target="media/rId88.png" /><Relationship Type="http://schemas.openxmlformats.org/officeDocument/2006/relationships/image" Id="rId73" Target="media/rId73.png" /><Relationship Type="http://schemas.openxmlformats.org/officeDocument/2006/relationships/image" Id="rId59" Target="media/rId59.png" /><Relationship Type="http://schemas.openxmlformats.org/officeDocument/2006/relationships/hyperlink" Id="rId96" Target="https://a100.gov.bc.ca/pub/acat/public/viewReport.do?reportId=59109" TargetMode="External" /><Relationship Type="http://schemas.openxmlformats.org/officeDocument/2006/relationships/hyperlink" Id="rId121" Target="https://cosewic.ca/index.php/en/reports/preparing-status-reports/guidelines-recognizing-designatable-units.html" TargetMode="External" /><Relationship Type="http://schemas.openxmlformats.org/officeDocument/2006/relationships/hyperlink" Id="rId155" Target="https://doi.org/10.1016/j.biocon.2013.07.006" TargetMode="External" /><Relationship Type="http://schemas.openxmlformats.org/officeDocument/2006/relationships/hyperlink" Id="rId123" Target="https://doi.org/10.1016/j.tree.2014.12.004" TargetMode="External" /><Relationship Type="http://schemas.openxmlformats.org/officeDocument/2006/relationships/hyperlink" Id="rId103" Target="https://doi.org/10.1101/2024.12.01.626233" TargetMode="External" /><Relationship Type="http://schemas.openxmlformats.org/officeDocument/2006/relationships/hyperlink" Id="rId116" Target="https://doi.org/10.1111/1365-2664.14239" TargetMode="External" /><Relationship Type="http://schemas.openxmlformats.org/officeDocument/2006/relationships/hyperlink" Id="rId171" Target="https://doi.org/10.1111/cobi.14434" TargetMode="External" /><Relationship Type="http://schemas.openxmlformats.org/officeDocument/2006/relationships/hyperlink" Id="rId161" Target="https://doi.org/10.1111/faf.70027" TargetMode="External" /><Relationship Type="http://schemas.openxmlformats.org/officeDocument/2006/relationships/hyperlink" Id="rId173" Target="https://doi.org/10.1111/j.1523-1739.2008.00937.x" TargetMode="External" /><Relationship Type="http://schemas.openxmlformats.org/officeDocument/2006/relationships/hyperlink" Id="rId163" Target="https://doi.org/10.1139/cjfas-2017-0127" TargetMode="External" /><Relationship Type="http://schemas.openxmlformats.org/officeDocument/2006/relationships/hyperlink" Id="rId178" Target="https://doi.org/10.1139/facets-2020-0064" TargetMode="External" /><Relationship Type="http://schemas.openxmlformats.org/officeDocument/2006/relationships/hyperlink" Id="rId169" Target="https://doi.org/10.1139/facets-2020-0075" TargetMode="External" /><Relationship Type="http://schemas.openxmlformats.org/officeDocument/2006/relationships/hyperlink" Id="rId151" Target="https://doi.org/10.1139/facets-2020-0084" TargetMode="External" /><Relationship Type="http://schemas.openxmlformats.org/officeDocument/2006/relationships/hyperlink" Id="rId175" Target="https://doi.org/10.1139/facets-2022-0095" TargetMode="External" /><Relationship Type="http://schemas.openxmlformats.org/officeDocument/2006/relationships/hyperlink" Id="rId125" Target="https://doi.org/10.1139/facets-2023-0204" TargetMode="External" /><Relationship Type="http://schemas.openxmlformats.org/officeDocument/2006/relationships/hyperlink" Id="rId180" Target="https://doi.org/10.1139/facets-2024-0348" TargetMode="External" /><Relationship Type="http://schemas.openxmlformats.org/officeDocument/2006/relationships/hyperlink" Id="rId110" Target="https://doi.org/10.1139/facets-2025-0031" TargetMode="External" /><Relationship Type="http://schemas.openxmlformats.org/officeDocument/2006/relationships/hyperlink" Id="rId112" Target="https://doi.org/10.3233/EPL-2002-32_5_13" TargetMode="External" /><Relationship Type="http://schemas.openxmlformats.org/officeDocument/2006/relationships/hyperlink" Id="rId182" Target="https://doi.org/10.32614/CRAN.package.rvest" TargetMode="External" /><Relationship Type="http://schemas.openxmlformats.org/officeDocument/2006/relationships/hyperlink" Id="rId184" Target="https://doi.org/10.32614/CRAN.package.udpipe" TargetMode="External" /><Relationship Type="http://schemas.openxmlformats.org/officeDocument/2006/relationships/hyperlink" Id="rId105" Target="https://doi.org/10.3390/su6096024" TargetMode="External" /><Relationship Type="http://schemas.openxmlformats.org/officeDocument/2006/relationships/hyperlink" Id="rId108" Target="https://doi.org/10.5751/ES-02784-140145" TargetMode="External" /><Relationship Type="http://schemas.openxmlformats.org/officeDocument/2006/relationships/hyperlink" Id="rId159" Target="https://laws-lois.justice.gc.ca/PDF/F-14.pdf" TargetMode="External" /><Relationship Type="http://schemas.openxmlformats.org/officeDocument/2006/relationships/hyperlink" Id="rId129" Target="https://laws-lois.justice.gc.ca/PDF/tops/eng/TOPS.pdf" TargetMode="External" /><Relationship Type="http://schemas.openxmlformats.org/officeDocument/2006/relationships/hyperlink" Id="rId118" Target="https://publications.gc.ca/collections/collection_2012/bcp-pco/CP32-93-2012-3-eng.pdf" TargetMode="External" /><Relationship Type="http://schemas.openxmlformats.org/officeDocument/2006/relationships/hyperlink" Id="rId167" Target="https://publications.gc.ca/collections/collection_2018/mpo-dfo/fs70-6/Fs70-6-2018-042-eng.pdf" TargetMode="External" /><Relationship Type="http://schemas.openxmlformats.org/officeDocument/2006/relationships/hyperlink" Id="rId134" Target="https://publications.gc.ca/collections/collection_2020/mpo-dfo/fs70-6/Fs70-6-2020-023-eng.pdf" TargetMode="External" /><Relationship Type="http://schemas.openxmlformats.org/officeDocument/2006/relationships/hyperlink" Id="rId157" Target="https://publications.gc.ca/collections/collection_2021/parl/xc51-1/XC51-1-1-432-5-eng.pdf" TargetMode="External" /><Relationship Type="http://schemas.openxmlformats.org/officeDocument/2006/relationships/hyperlink" Id="rId131" Target="https://waves-vagues.dfo-mpo.gc.ca/library-bibliotheque/315577.pdf" TargetMode="External" /><Relationship Type="http://schemas.openxmlformats.org/officeDocument/2006/relationships/hyperlink" Id="rId149" Target="https://waves-vagues.dfo-mpo.gc.ca/library-bibliotheque/40807071.pdf" TargetMode="External" /><Relationship Type="http://schemas.openxmlformats.org/officeDocument/2006/relationships/hyperlink" Id="rId136" Target="https://waves-vagues.dfo-mpo.gc.ca/library-bibliotheque/41031209.pdf" TargetMode="External" /><Relationship Type="http://schemas.openxmlformats.org/officeDocument/2006/relationships/hyperlink" Id="rId165" Target="https://www.bclaws.gov.bc.ca/civix/content/amr/amr/2067365574/?xsl=/templates/browse.xsl" TargetMode="External" /><Relationship Type="http://schemas.openxmlformats.org/officeDocument/2006/relationships/hyperlink" Id="rId147" Target="https://www.bclaws.gov.bc.ca/civix/document/id/complete/statreg/02069_01" TargetMode="External" /><Relationship Type="http://schemas.openxmlformats.org/officeDocument/2006/relationships/hyperlink" Id="rId114" Target="https://www.canlii.org/" TargetMode="External" /><Relationship Type="http://schemas.openxmlformats.org/officeDocument/2006/relationships/hyperlink" Id="rId138" Target="https://www.dfo-mpo.gc.ca/fisheries-peches/ifmp-gmp/salmon-saumon/2024/okanagan-2024-eng.html" TargetMode="External" /><Relationship Type="http://schemas.openxmlformats.org/officeDocument/2006/relationships/hyperlink" Id="rId140" Target="https://www.dfo-mpo.gc.ca/reports-rapports/regs/sff-cpd/precautionary-precaution-eng.htm" TargetMode="External" /><Relationship Type="http://schemas.openxmlformats.org/officeDocument/2006/relationships/hyperlink" Id="rId127" Target="https://www.justice.gc.ca/eng/rp-pr/csj-sjc/legis-redact/legistics/p3p1.html" TargetMode="External" /><Relationship Type="http://schemas.openxmlformats.org/officeDocument/2006/relationships/hyperlink" Id="rId142" Target="https://www.pac.dfo-mpo.gc.ca/fm-gp/salmon-saumon/docs/trilat-agreement-accord/declaration-eng.html" TargetMode="External" /></Relationships>
</file>

<file path=word/_rels/footnotes.xml.rels><?xml version="1.0" encoding="UTF-8"?><Relationships xmlns="http://schemas.openxmlformats.org/package/2006/relationships"><Relationship Type="http://schemas.openxmlformats.org/officeDocument/2006/relationships/hyperlink" Id="rId96" Target="https://a100.gov.bc.ca/pub/acat/public/viewReport.do?reportId=59109" TargetMode="External" /><Relationship Type="http://schemas.openxmlformats.org/officeDocument/2006/relationships/hyperlink" Id="rId121" Target="https://cosewic.ca/index.php/en/reports/preparing-status-reports/guidelines-recognizing-designatable-units.html" TargetMode="External" /><Relationship Type="http://schemas.openxmlformats.org/officeDocument/2006/relationships/hyperlink" Id="rId155" Target="https://doi.org/10.1016/j.biocon.2013.07.006" TargetMode="External" /><Relationship Type="http://schemas.openxmlformats.org/officeDocument/2006/relationships/hyperlink" Id="rId123" Target="https://doi.org/10.1016/j.tree.2014.12.004" TargetMode="External" /><Relationship Type="http://schemas.openxmlformats.org/officeDocument/2006/relationships/hyperlink" Id="rId103" Target="https://doi.org/10.1101/2024.12.01.626233" TargetMode="External" /><Relationship Type="http://schemas.openxmlformats.org/officeDocument/2006/relationships/hyperlink" Id="rId116" Target="https://doi.org/10.1111/1365-2664.14239" TargetMode="External" /><Relationship Type="http://schemas.openxmlformats.org/officeDocument/2006/relationships/hyperlink" Id="rId171" Target="https://doi.org/10.1111/cobi.14434" TargetMode="External" /><Relationship Type="http://schemas.openxmlformats.org/officeDocument/2006/relationships/hyperlink" Id="rId161" Target="https://doi.org/10.1111/faf.70027" TargetMode="External" /><Relationship Type="http://schemas.openxmlformats.org/officeDocument/2006/relationships/hyperlink" Id="rId173" Target="https://doi.org/10.1111/j.1523-1739.2008.00937.x" TargetMode="External" /><Relationship Type="http://schemas.openxmlformats.org/officeDocument/2006/relationships/hyperlink" Id="rId163" Target="https://doi.org/10.1139/cjfas-2017-0127" TargetMode="External" /><Relationship Type="http://schemas.openxmlformats.org/officeDocument/2006/relationships/hyperlink" Id="rId178" Target="https://doi.org/10.1139/facets-2020-0064" TargetMode="External" /><Relationship Type="http://schemas.openxmlformats.org/officeDocument/2006/relationships/hyperlink" Id="rId169" Target="https://doi.org/10.1139/facets-2020-0075" TargetMode="External" /><Relationship Type="http://schemas.openxmlformats.org/officeDocument/2006/relationships/hyperlink" Id="rId151" Target="https://doi.org/10.1139/facets-2020-0084" TargetMode="External" /><Relationship Type="http://schemas.openxmlformats.org/officeDocument/2006/relationships/hyperlink" Id="rId175" Target="https://doi.org/10.1139/facets-2022-0095" TargetMode="External" /><Relationship Type="http://schemas.openxmlformats.org/officeDocument/2006/relationships/hyperlink" Id="rId125" Target="https://doi.org/10.1139/facets-2023-0204" TargetMode="External" /><Relationship Type="http://schemas.openxmlformats.org/officeDocument/2006/relationships/hyperlink" Id="rId180" Target="https://doi.org/10.1139/facets-2024-0348" TargetMode="External" /><Relationship Type="http://schemas.openxmlformats.org/officeDocument/2006/relationships/hyperlink" Id="rId110" Target="https://doi.org/10.1139/facets-2025-0031" TargetMode="External" /><Relationship Type="http://schemas.openxmlformats.org/officeDocument/2006/relationships/hyperlink" Id="rId112" Target="https://doi.org/10.3233/EPL-2002-32_5_13" TargetMode="External" /><Relationship Type="http://schemas.openxmlformats.org/officeDocument/2006/relationships/hyperlink" Id="rId182" Target="https://doi.org/10.32614/CRAN.package.rvest" TargetMode="External" /><Relationship Type="http://schemas.openxmlformats.org/officeDocument/2006/relationships/hyperlink" Id="rId184" Target="https://doi.org/10.32614/CRAN.package.udpipe" TargetMode="External" /><Relationship Type="http://schemas.openxmlformats.org/officeDocument/2006/relationships/hyperlink" Id="rId105" Target="https://doi.org/10.3390/su6096024" TargetMode="External" /><Relationship Type="http://schemas.openxmlformats.org/officeDocument/2006/relationships/hyperlink" Id="rId108" Target="https://doi.org/10.5751/ES-02784-140145" TargetMode="External" /><Relationship Type="http://schemas.openxmlformats.org/officeDocument/2006/relationships/hyperlink" Id="rId159" Target="https://laws-lois.justice.gc.ca/PDF/F-14.pdf" TargetMode="External" /><Relationship Type="http://schemas.openxmlformats.org/officeDocument/2006/relationships/hyperlink" Id="rId129" Target="https://laws-lois.justice.gc.ca/PDF/tops/eng/TOPS.pdf" TargetMode="External" /><Relationship Type="http://schemas.openxmlformats.org/officeDocument/2006/relationships/hyperlink" Id="rId118" Target="https://publications.gc.ca/collections/collection_2012/bcp-pco/CP32-93-2012-3-eng.pdf" TargetMode="External" /><Relationship Type="http://schemas.openxmlformats.org/officeDocument/2006/relationships/hyperlink" Id="rId167" Target="https://publications.gc.ca/collections/collection_2018/mpo-dfo/fs70-6/Fs70-6-2018-042-eng.pdf" TargetMode="External" /><Relationship Type="http://schemas.openxmlformats.org/officeDocument/2006/relationships/hyperlink" Id="rId134" Target="https://publications.gc.ca/collections/collection_2020/mpo-dfo/fs70-6/Fs70-6-2020-023-eng.pdf" TargetMode="External" /><Relationship Type="http://schemas.openxmlformats.org/officeDocument/2006/relationships/hyperlink" Id="rId157" Target="https://publications.gc.ca/collections/collection_2021/parl/xc51-1/XC51-1-1-432-5-eng.pdf" TargetMode="External" /><Relationship Type="http://schemas.openxmlformats.org/officeDocument/2006/relationships/hyperlink" Id="rId131" Target="https://waves-vagues.dfo-mpo.gc.ca/library-bibliotheque/315577.pdf" TargetMode="External" /><Relationship Type="http://schemas.openxmlformats.org/officeDocument/2006/relationships/hyperlink" Id="rId149" Target="https://waves-vagues.dfo-mpo.gc.ca/library-bibliotheque/40807071.pdf" TargetMode="External" /><Relationship Type="http://schemas.openxmlformats.org/officeDocument/2006/relationships/hyperlink" Id="rId136" Target="https://waves-vagues.dfo-mpo.gc.ca/library-bibliotheque/41031209.pdf" TargetMode="External" /><Relationship Type="http://schemas.openxmlformats.org/officeDocument/2006/relationships/hyperlink" Id="rId165" Target="https://www.bclaws.gov.bc.ca/civix/content/amr/amr/2067365574/?xsl=/templates/browse.xsl" TargetMode="External" /><Relationship Type="http://schemas.openxmlformats.org/officeDocument/2006/relationships/hyperlink" Id="rId147" Target="https://www.bclaws.gov.bc.ca/civix/document/id/complete/statreg/02069_01" TargetMode="External" /><Relationship Type="http://schemas.openxmlformats.org/officeDocument/2006/relationships/hyperlink" Id="rId114" Target="https://www.canlii.org/" TargetMode="External" /><Relationship Type="http://schemas.openxmlformats.org/officeDocument/2006/relationships/hyperlink" Id="rId138" Target="https://www.dfo-mpo.gc.ca/fisheries-peches/ifmp-gmp/salmon-saumon/2024/okanagan-2024-eng.html" TargetMode="External" /><Relationship Type="http://schemas.openxmlformats.org/officeDocument/2006/relationships/hyperlink" Id="rId140" Target="https://www.dfo-mpo.gc.ca/reports-rapports/regs/sff-cpd/precautionary-precaution-eng.htm" TargetMode="External" /><Relationship Type="http://schemas.openxmlformats.org/officeDocument/2006/relationships/hyperlink" Id="rId127" Target="https://www.justice.gc.ca/eng/rp-pr/csj-sjc/legis-redact/legistics/p3p1.html" TargetMode="External" /><Relationship Type="http://schemas.openxmlformats.org/officeDocument/2006/relationships/hyperlink" Id="rId142" Target="https://www.pac.dfo-mpo.gc.ca/fm-gp/salmon-saumon/docs/trilat-agreement-accord/declaration-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 Daniel Gillis, Marina Wright</dc:creator>
  <cp:keywords/>
  <dcterms:created xsi:type="dcterms:W3CDTF">2026-01-29T20:01:29Z</dcterms:created>
  <dcterms:modified xsi:type="dcterms:W3CDTF">2026-01-29T20:01:29Z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2026-01-29</vt:lpwstr>
  </property>
  <property fmtid="{D5CDD505-2E9C-101B-9397-08002B2CF9AE}" pid="5" name="language">
    <vt:lpwstr/>
  </property>
  <property fmtid="{D5CDD505-2E9C-101B-9397-08002B2CF9AE}" pid="6" name="output">
    <vt:lpwstr/>
  </property>
</Properties>
</file>