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2026-01-21</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8 Canadian federal ministries and 9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Fisheries and Oceans Canada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(Fisheries and Oceans Canada 2022a)</w:t>
      </w:r>
      <w:r>
        <w:t xml:space="preserve"> </w:t>
      </w:r>
      <w:r>
        <w:t xml:space="preserve">for a small number of Pacific salmon populations including Okanagan Chinook</w:t>
      </w:r>
      <w:r>
        <w:t xml:space="preserve"> </w:t>
      </w:r>
      <w:r>
        <w:t xml:space="preserve">(Fisheries and Oceans Canada 2022b)</w:t>
      </w:r>
      <w:r>
        <w:t xml:space="preserve"> </w:t>
      </w:r>
      <w:r>
        <w:t xml:space="preserve">and West Coast Vancouver Island Chinook</w:t>
      </w:r>
      <w:r>
        <w:t xml:space="preserve"> </w:t>
      </w:r>
      <w:r>
        <w:t xml:space="preserve">(Fisheries and Oceans Canada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w:t>
      </w:r>
      <w:r>
        <w:rPr>
          <w:b/>
          <w:bCs/>
        </w:rPr>
        <w:t xml:space="preserve">e.g. the WSP,</w:t>
      </w:r>
      <w:r>
        <w:rPr>
          <w:b/>
          <w:bCs/>
        </w:rPr>
        <w:t xml:space="preserve"> </w:t>
      </w:r>
      <w:hyperlink r:id="rId22">
        <w:r>
          <w:rPr>
            <w:rStyle w:val="Hyperlink"/>
            <w:b/>
            <w:bCs/>
          </w:rPr>
          <w:t xml:space="preserve">the trilateral accord 2024</w:t>
        </w:r>
      </w:hyperlink>
      <w:r>
        <w:t xml:space="preserve">).</w:t>
      </w:r>
    </w:p>
    <w:p>
      <w:pPr>
        <w:pStyle w:val="BodyText"/>
      </w:pPr>
      <w:r>
        <w:t xml:space="preserve">Coordinated action requires adequate organizational capacity and systems for implementation to ensure that regulatory controls and mitigation activities address underlying threats to salmon and their habitat.</w:t>
      </w:r>
    </w:p>
    <w:p>
      <w:pPr>
        <w:pStyle w:val="BodyText"/>
      </w:pPr>
      <w:r>
        <w:t xml:space="preserve">However, linking threats and recovery actions to the relevant regulatory systems can be complex because salmon are often affected by multiple threats that each span across agencies and governmental jurisdiction.</w:t>
      </w:r>
    </w:p>
    <w:p>
      <w:pPr>
        <w:pStyle w:val="BodyText"/>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relevant to Pacific salmon in British Columbia. Using a novel method for parsing and classifying legislative clauses, we develop keyword relationships between IUCN threats classifications and</w:t>
      </w:r>
      <w:r>
        <w:t xml:space="preserve"> </w:t>
      </w:r>
      <w:r>
        <w:rPr>
          <w:b/>
          <w:bCs/>
        </w:rPr>
        <w:t xml:space="preserve">XXXX clauses from XX acts and XX regulations</w:t>
      </w:r>
      <w:r>
        <w:t xml:space="preserve">.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numPr>
          <w:ilvl w:val="0"/>
          <w:numId w:val="1003"/>
        </w:numPr>
      </w:pPr>
      <w:r>
        <w:rPr>
          <w:b/>
          <w:bCs/>
        </w:rPr>
        <w:t xml:space="preserve">Explain the levels and hierarchy</w:t>
      </w:r>
    </w:p>
    <w:p>
      <w:pPr>
        <w:numPr>
          <w:ilvl w:val="0"/>
          <w:numId w:val="1003"/>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4"/>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5"/>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6"/>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6"/>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7"/>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7"/>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8"/>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09"/>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0"/>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1"/>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1"/>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2"/>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2"/>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3"/>
        </w:numPr>
      </w:pPr>
      <w:r>
        <w:rPr>
          <w:b/>
          <w:bCs/>
        </w:rPr>
        <w:t xml:space="preserve">DG - I suggest adding a column that has the RPA citation that covers each group of DUs, since I don’t see the RPAs cited anywhere else.</w:t>
      </w:r>
    </w:p>
    <w:p>
      <w:pPr>
        <w:numPr>
          <w:ilvl w:val="0"/>
          <w:numId w:val="1013"/>
        </w:numPr>
      </w:pPr>
      <w:r>
        <w:rPr>
          <w:b/>
          <w:bCs/>
        </w:rPr>
        <w:t xml:space="preserve">DG - For consideration: mapping the CUs to their corresponding DUs in this table. The STREAM platform has a crosswalk for this.</w:t>
      </w:r>
    </w:p>
    <w:p>
      <w:pPr>
        <w:numPr>
          <w:ilvl w:val="0"/>
          <w:numId w:val="1013"/>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3"/>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4"/>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5"/>
        </w:numPr>
      </w:pPr>
      <w:r>
        <w:rPr>
          <w:b/>
          <w:bCs/>
        </w:rPr>
        <w:t xml:space="preserve">DG - It looks like the x-axis is organized alphabetically, causing some of the threats in categories 10 and 11 to be up at the top.</w:t>
      </w:r>
    </w:p>
    <w:p>
      <w:pPr>
        <w:numPr>
          <w:ilvl w:val="0"/>
          <w:numId w:val="1015"/>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(2022a)</w:t>
      </w:r>
      <w:r>
        <w:t xml:space="preserve">]:</w:t>
      </w:r>
    </w:p>
    <w:p>
      <w:pPr>
        <w:numPr>
          <w:ilvl w:val="0"/>
          <w:numId w:val="1016"/>
        </w:numPr>
      </w:pPr>
      <w:r>
        <w:rPr>
          <w:b/>
          <w:bCs/>
        </w:rPr>
        <w:t xml:space="preserve">DG - Suggest using IUCN-CMP throughout if that’s what we’re starting with.</w:t>
      </w:r>
    </w:p>
    <w:p>
      <w:pPr>
        <w:numPr>
          <w:ilvl w:val="0"/>
          <w:numId w:val="1016"/>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6"/>
        </w:numPr>
      </w:pPr>
      <w:r>
        <w:rPr>
          <w:b/>
          <w:bCs/>
        </w:rPr>
        <w:t xml:space="preserve">DG - I suggest just citing the RES Docs instead of the SARs</w:t>
      </w:r>
    </w:p>
    <w:p>
      <w:pPr>
        <w:numPr>
          <w:ilvl w:val="0"/>
          <w:numId w:val="1016"/>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7"/>
        </w:numPr>
      </w:pPr>
      <w:r>
        <w:rPr>
          <w:b/>
          <w:bCs/>
        </w:rPr>
        <w:t xml:space="preserve">DG - Could be helpful to note the different values on the x-axis between this and the next figure</w:t>
      </w:r>
    </w:p>
    <w:p>
      <w:pPr>
        <w:numPr>
          <w:ilvl w:val="0"/>
          <w:numId w:val="1017"/>
        </w:numPr>
      </w:pPr>
      <w:r>
        <w:rPr>
          <w:b/>
          <w:bCs/>
        </w:rPr>
        <w:t xml:space="preserve">Add more description of Big Bar slide</w:t>
      </w:r>
    </w:p>
    <w:p>
      <w:pPr>
        <w:numPr>
          <w:ilvl w:val="0"/>
          <w:numId w:val="1017"/>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8"/>
        </w:numPr>
      </w:pPr>
      <w:r>
        <w:rPr>
          <w:b/>
          <w:bCs/>
        </w:rPr>
        <w:t xml:space="preserve">DG - And 7.3 Other ecosystem modifications</w:t>
      </w:r>
    </w:p>
    <w:p>
      <w:pPr>
        <w:numPr>
          <w:ilvl w:val="0"/>
          <w:numId w:val="1018"/>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9"/>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0"/>
        </w:numPr>
      </w:pPr>
      <w:r>
        <w:rPr>
          <w:b/>
          <w:bCs/>
        </w:rPr>
        <w:t xml:space="preserve">add more description of Bessette Creek</w:t>
      </w:r>
    </w:p>
    <w:p>
      <w:pPr>
        <w:numPr>
          <w:ilvl w:val="0"/>
          <w:numId w:val="1020"/>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0"/>
        </w:numPr>
      </w:pPr>
      <w:r>
        <w:rPr>
          <w:b/>
          <w:bCs/>
        </w:rPr>
        <w:t xml:space="preserve">Comment on the most relevant legislation and why</w:t>
      </w:r>
    </w:p>
    <w:p>
      <w:pPr>
        <w:numPr>
          <w:ilvl w:val="0"/>
          <w:numId w:val="1020"/>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1"/>
        </w:numPr>
      </w:pPr>
      <w:r>
        <w:rPr>
          <w:b/>
          <w:bCs/>
        </w:rPr>
        <w:t xml:space="preserve">The decision maker must consider the environmental flow needs of the stream (as outlined in the EFN Policy).</w:t>
      </w:r>
    </w:p>
    <w:p>
      <w:pPr>
        <w:numPr>
          <w:ilvl w:val="1"/>
          <w:numId w:val="1021"/>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2"/>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6" w:name="references"/>
    <w:p>
      <w:pPr>
        <w:pStyle w:val="Heading1"/>
      </w:pPr>
      <w:r>
        <w:t xml:space="preserve">References</w:t>
      </w:r>
    </w:p>
    <w:bookmarkStart w:id="165"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2"/>
    <w:bookmarkStart w:id="12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3"/>
    <w:bookmarkStart w:id="125"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4">
        <w:r>
          <w:rPr>
            <w:rStyle w:val="Hyperlink"/>
          </w:rPr>
          <w:t xml:space="preserve">https://waves-vagues.dfo-mpo.gc.ca/library-bibliotheque/315577.pdf</w:t>
        </w:r>
      </w:hyperlink>
      <w:r>
        <w:t xml:space="preserve">.</w:t>
      </w:r>
    </w:p>
    <w:bookmarkEnd w:id="125"/>
    <w:bookmarkStart w:id="127" w:name="ref-dfo2021"/>
    <w:p>
      <w:pPr>
        <w:pStyle w:val="Bibliography"/>
      </w:pPr>
      <w:r>
        <w:t xml:space="preserve">Fisheries and Oceans Canada.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Governement of Canada, Vancouver, BC. Available from</w:t>
      </w:r>
      <w:r>
        <w:t xml:space="preserve"> </w:t>
      </w:r>
      <w:hyperlink r:id="rId126">
        <w:r>
          <w:rPr>
            <w:rStyle w:val="Hyperlink"/>
          </w:rPr>
          <w:t xml:space="preserve">https://waves-vagues.dfo-mpo.gc.ca/library-bibliotheque/41031209.pdf</w:t>
        </w:r>
      </w:hyperlink>
      <w:r>
        <w:t xml:space="preserve">.</w:t>
      </w:r>
    </w:p>
    <w:bookmarkEnd w:id="127"/>
    <w:bookmarkStart w:id="129" w:name="ref-DFO2022"/>
    <w:p>
      <w:pPr>
        <w:pStyle w:val="Bibliography"/>
      </w:pPr>
      <w:r>
        <w:t xml:space="preserve">Fisheries and Oceans Canada.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 Governement of Canada, Ottawa, ON. Available from</w:t>
      </w:r>
      <w:r>
        <w:t xml:space="preserve"> </w:t>
      </w:r>
      <w:hyperlink r:id="rId128">
        <w:r>
          <w:rPr>
            <w:rStyle w:val="Hyperlink"/>
          </w:rPr>
          <w:t xml:space="preserve">https://www.dfo-mpo.gc.ca/fisheries-peches/ifmp-gmp/salmon-saumon/2024/okanagan-2024-eng.html</w:t>
        </w:r>
      </w:hyperlink>
      <w:r>
        <w:t xml:space="preserve">.</w:t>
      </w:r>
    </w:p>
    <w:bookmarkEnd w:id="129"/>
    <w:bookmarkStart w:id="131" w:name="ref-dfo2022"/>
    <w:p>
      <w:pPr>
        <w:pStyle w:val="Bibliography"/>
      </w:pPr>
      <w:r>
        <w:t xml:space="preserve">Fisheries and Oceans Canada.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 Government of Canada, Ottawa, ON. Available from</w:t>
      </w:r>
      <w:r>
        <w:t xml:space="preserve"> </w:t>
      </w:r>
      <w:hyperlink r:id="rId130">
        <w:r>
          <w:rPr>
            <w:rStyle w:val="Hyperlink"/>
          </w:rPr>
          <w:t xml:space="preserve">https://www.dfo-mpo.gc.ca/reports-rapports/regs/sff-cpd/precautionary-precaution-eng.htm</w:t>
        </w:r>
      </w:hyperlink>
      <w:r>
        <w:t xml:space="preserve">.</w:t>
      </w:r>
    </w:p>
    <w:bookmarkEnd w:id="131"/>
    <w:bookmarkStart w:id="132" w:name="ref-dfo2025"/>
    <w:p>
      <w:pPr>
        <w:pStyle w:val="Bibliography"/>
      </w:pPr>
      <w:r>
        <w:t xml:space="preserve">Fisheries and Oceans Canada.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 = Pêches et océans Canada</w:t>
      </w:r>
      <w:r>
        <w:t xml:space="preserve">, Vancouver, BC.</w:t>
      </w:r>
    </w:p>
    <w:bookmarkEnd w:id="132"/>
    <w:bookmarkStart w:id="134"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3">
        <w:r>
          <w:rPr>
            <w:rStyle w:val="Hyperlink"/>
          </w:rPr>
          <w:t xml:space="preserve">https://www.bclaws.gov.bc.ca/civix/document/id/complete/statreg/02069_01</w:t>
        </w:r>
      </w:hyperlink>
      <w:r>
        <w:t xml:space="preserve">.</w:t>
      </w:r>
    </w:p>
    <w:bookmarkEnd w:id="134"/>
    <w:bookmarkStart w:id="136"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5">
        <w:r>
          <w:rPr>
            <w:rStyle w:val="Hyperlink"/>
          </w:rPr>
          <w:t xml:space="preserve">https://waves-vagues.dfo-mpo.gc.ca/library-bibliotheque/40807071.pdf</w:t>
        </w:r>
      </w:hyperlink>
      <w:r>
        <w:t xml:space="preserve">.</w:t>
      </w:r>
    </w:p>
    <w:bookmarkEnd w:id="136"/>
    <w:bookmarkStart w:id="138"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7">
        <w:r>
          <w:rPr>
            <w:rStyle w:val="Hyperlink"/>
          </w:rPr>
          <w:t xml:space="preserve">10.1139/facets-2020-0084</w:t>
        </w:r>
      </w:hyperlink>
      <w:r>
        <w:t xml:space="preserve">.</w:t>
      </w:r>
    </w:p>
    <w:bookmarkEnd w:id="138"/>
    <w:bookmarkStart w:id="139"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9"/>
    <w:bookmarkStart w:id="141"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0">
        <w:r>
          <w:rPr>
            <w:rStyle w:val="Hyperlink"/>
          </w:rPr>
          <w:t xml:space="preserve">10.1016/j.biocon.2013.07.006</w:t>
        </w:r>
      </w:hyperlink>
      <w:r>
        <w:t xml:space="preserve">.</w:t>
      </w:r>
    </w:p>
    <w:bookmarkEnd w:id="141"/>
    <w:bookmarkStart w:id="143"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2">
        <w:r>
          <w:rPr>
            <w:rStyle w:val="Hyperlink"/>
          </w:rPr>
          <w:t xml:space="preserve">https://publications.gc.ca/collections/collection_2021/parl/xc51-1/XC51-1-1-432-5-eng.pdf</w:t>
        </w:r>
      </w:hyperlink>
      <w:r>
        <w:t xml:space="preserve">.</w:t>
      </w:r>
    </w:p>
    <w:bookmarkEnd w:id="143"/>
    <w:bookmarkStart w:id="145"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4">
        <w:r>
          <w:rPr>
            <w:rStyle w:val="Hyperlink"/>
          </w:rPr>
          <w:t xml:space="preserve">https://laws-lois.justice.gc.ca/PDF/F-14.pdf</w:t>
        </w:r>
      </w:hyperlink>
      <w:r>
        <w:t xml:space="preserve">.</w:t>
      </w:r>
    </w:p>
    <w:bookmarkEnd w:id="145"/>
    <w:bookmarkStart w:id="147"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6">
        <w:r>
          <w:rPr>
            <w:rStyle w:val="Hyperlink"/>
          </w:rPr>
          <w:t xml:space="preserve">10.1111/faf.70027</w:t>
        </w:r>
      </w:hyperlink>
      <w:r>
        <w:t xml:space="preserve">.</w:t>
      </w:r>
    </w:p>
    <w:bookmarkEnd w:id="147"/>
    <w:bookmarkStart w:id="149"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8">
        <w:r>
          <w:rPr>
            <w:rStyle w:val="Hyperlink"/>
          </w:rPr>
          <w:t xml:space="preserve">10.1139/cjfas-2017-0127</w:t>
        </w:r>
      </w:hyperlink>
      <w:r>
        <w:t xml:space="preserve">.</w:t>
      </w:r>
    </w:p>
    <w:bookmarkEnd w:id="149"/>
    <w:bookmarkStart w:id="151"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0">
        <w:r>
          <w:rPr>
            <w:rStyle w:val="Hyperlink"/>
          </w:rPr>
          <w:t xml:space="preserve">https://www.bclaws.gov.bc.ca/civix/content/amr/amr/2067365574/?xsl=/templates/browse.xsl</w:t>
        </w:r>
      </w:hyperlink>
      <w:r>
        <w:t xml:space="preserve">.</w:t>
      </w:r>
    </w:p>
    <w:bookmarkEnd w:id="151"/>
    <w:bookmarkStart w:id="153"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2">
        <w:r>
          <w:rPr>
            <w:rStyle w:val="Hyperlink"/>
          </w:rPr>
          <w:t xml:space="preserve">10.1139/facets-2020-0075</w:t>
        </w:r>
      </w:hyperlink>
      <w:r>
        <w:t xml:space="preserve">.</w:t>
      </w:r>
    </w:p>
    <w:bookmarkEnd w:id="153"/>
    <w:bookmarkStart w:id="155"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4">
        <w:r>
          <w:rPr>
            <w:rStyle w:val="Hyperlink"/>
          </w:rPr>
          <w:t xml:space="preserve">10.1111/cobi.14434</w:t>
        </w:r>
      </w:hyperlink>
      <w:r>
        <w:t xml:space="preserve">.</w:t>
      </w:r>
    </w:p>
    <w:bookmarkEnd w:id="155"/>
    <w:bookmarkStart w:id="157"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6">
        <w:r>
          <w:rPr>
            <w:rStyle w:val="Hyperlink"/>
          </w:rPr>
          <w:t xml:space="preserve">10.1111/j.1523-1739.2008.00937.x</w:t>
        </w:r>
      </w:hyperlink>
      <w:r>
        <w:t xml:space="preserve">.</w:t>
      </w:r>
    </w:p>
    <w:bookmarkEnd w:id="157"/>
    <w:bookmarkStart w:id="159"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8">
        <w:r>
          <w:rPr>
            <w:rStyle w:val="Hyperlink"/>
          </w:rPr>
          <w:t xml:space="preserve">10.1139/facets-2022-0095</w:t>
        </w:r>
      </w:hyperlink>
      <w:r>
        <w:t xml:space="preserve">.</w:t>
      </w:r>
    </w:p>
    <w:bookmarkEnd w:id="159"/>
    <w:bookmarkStart w:id="160"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0"/>
    <w:bookmarkStart w:id="162"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1">
        <w:r>
          <w:rPr>
            <w:rStyle w:val="Hyperlink"/>
          </w:rPr>
          <w:t xml:space="preserve">10.1139/facets-2020-0064</w:t>
        </w:r>
      </w:hyperlink>
      <w:r>
        <w:t xml:space="preserve">.</w:t>
      </w:r>
    </w:p>
    <w:bookmarkEnd w:id="162"/>
    <w:bookmarkStart w:id="164"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3">
        <w:r>
          <w:rPr>
            <w:rStyle w:val="Hyperlink"/>
          </w:rPr>
          <w:t xml:space="preserve">10.1139/facets-2024-0348</w:t>
        </w:r>
      </w:hyperlink>
      <w:r>
        <w:t xml:space="preserve">.</w:t>
      </w:r>
    </w:p>
    <w:bookmarkEnd w:id="164"/>
    <w:bookmarkEnd w:id="165"/>
    <w:bookmarkEnd w:id="166"/>
    <w:bookmarkStart w:id="167" w:name="supplementary-material"/>
    <w:p>
      <w:pPr>
        <w:pStyle w:val="Heading1"/>
      </w:pPr>
      <w:r>
        <w:t xml:space="preserve">Supplementary material</w:t>
      </w:r>
    </w:p>
    <w:p>
      <w:pPr>
        <w:pStyle w:val="Compact"/>
        <w:numPr>
          <w:ilvl w:val="0"/>
          <w:numId w:val="1023"/>
        </w:numPr>
      </w:pPr>
      <w:r>
        <w:rPr>
          <w:b/>
          <w:bCs/>
        </w:rPr>
        <w:t xml:space="preserve">Links or downloads for the LAPSE tool materials (app etc.)</w:t>
      </w:r>
    </w:p>
    <w:bookmarkEnd w:id="167"/>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0"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4" Target="https://doi.org/10.1111/cobi.14434" TargetMode="External" /><Relationship Type="http://schemas.openxmlformats.org/officeDocument/2006/relationships/hyperlink" Id="rId146" Target="https://doi.org/10.1111/faf.70027" TargetMode="External" /><Relationship Type="http://schemas.openxmlformats.org/officeDocument/2006/relationships/hyperlink" Id="rId156" Target="https://doi.org/10.1111/j.1523-1739.2008.00937.x" TargetMode="External" /><Relationship Type="http://schemas.openxmlformats.org/officeDocument/2006/relationships/hyperlink" Id="rId148" Target="https://doi.org/10.1139/cjfas-2017-0127" TargetMode="External" /><Relationship Type="http://schemas.openxmlformats.org/officeDocument/2006/relationships/hyperlink" Id="rId161" Target="https://doi.org/10.1139/facets-2020-0064" TargetMode="External" /><Relationship Type="http://schemas.openxmlformats.org/officeDocument/2006/relationships/hyperlink" Id="rId152" Target="https://doi.org/10.1139/facets-2020-0075" TargetMode="External" /><Relationship Type="http://schemas.openxmlformats.org/officeDocument/2006/relationships/hyperlink" Id="rId137" Target="https://doi.org/10.1139/facets-2020-0084" TargetMode="External" /><Relationship Type="http://schemas.openxmlformats.org/officeDocument/2006/relationships/hyperlink" Id="rId158"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3"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4"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2"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5"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50" Target="https://www.bclaws.gov.bc.ca/civix/content/amr/amr/2067365574/?xsl=/templates/browse.xsl" TargetMode="External" /><Relationship Type="http://schemas.openxmlformats.org/officeDocument/2006/relationships/hyperlink" Id="rId133"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8" Target="https://www.dfo-mpo.gc.ca/fisheries-peches/ifmp-gmp/salmon-saumon/2024/okanagan-2024-eng.html" TargetMode="External" /><Relationship Type="http://schemas.openxmlformats.org/officeDocument/2006/relationships/hyperlink" Id="rId130"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0"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4" Target="https://doi.org/10.1111/cobi.14434" TargetMode="External" /><Relationship Type="http://schemas.openxmlformats.org/officeDocument/2006/relationships/hyperlink" Id="rId146" Target="https://doi.org/10.1111/faf.70027" TargetMode="External" /><Relationship Type="http://schemas.openxmlformats.org/officeDocument/2006/relationships/hyperlink" Id="rId156" Target="https://doi.org/10.1111/j.1523-1739.2008.00937.x" TargetMode="External" /><Relationship Type="http://schemas.openxmlformats.org/officeDocument/2006/relationships/hyperlink" Id="rId148" Target="https://doi.org/10.1139/cjfas-2017-0127" TargetMode="External" /><Relationship Type="http://schemas.openxmlformats.org/officeDocument/2006/relationships/hyperlink" Id="rId161" Target="https://doi.org/10.1139/facets-2020-0064" TargetMode="External" /><Relationship Type="http://schemas.openxmlformats.org/officeDocument/2006/relationships/hyperlink" Id="rId152" Target="https://doi.org/10.1139/facets-2020-0075" TargetMode="External" /><Relationship Type="http://schemas.openxmlformats.org/officeDocument/2006/relationships/hyperlink" Id="rId137" Target="https://doi.org/10.1139/facets-2020-0084" TargetMode="External" /><Relationship Type="http://schemas.openxmlformats.org/officeDocument/2006/relationships/hyperlink" Id="rId158"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3"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4"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2"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5"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50" Target="https://www.bclaws.gov.bc.ca/civix/content/amr/amr/2067365574/?xsl=/templates/browse.xsl" TargetMode="External" /><Relationship Type="http://schemas.openxmlformats.org/officeDocument/2006/relationships/hyperlink" Id="rId133"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8" Target="https://www.dfo-mpo.gc.ca/fisheries-peches/ifmp-gmp/salmon-saumon/2024/okanagan-2024-eng.html" TargetMode="External" /><Relationship Type="http://schemas.openxmlformats.org/officeDocument/2006/relationships/hyperlink" Id="rId130"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2026-01-21T17:09:48Z</dcterms:created>
  <dcterms:modified xsi:type="dcterms:W3CDTF">2026-01-21T17:09:48Z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2026-01-21</vt:lpwstr>
  </property>
  <property fmtid="{D5CDD505-2E9C-101B-9397-08002B2CF9AE}" pid="5" name="language">
    <vt:lpwstr/>
  </property>
  <property fmtid="{D5CDD505-2E9C-101B-9397-08002B2CF9AE}" pid="6" name="output">
    <vt:lpwstr/>
  </property>
</Properties>
</file>