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5.png" ContentType="image/png"/>
  <Override PartName="/word/media/rId67.png" ContentType="image/png"/>
  <Override PartName="/word/media/rId74.png" ContentType="image/png"/>
  <Override PartName="/word/media/rId83.png" ContentType="image/png"/>
  <Override PartName="/word/media/rId92.png" ContentType="image/png"/>
  <Override PartName="/word/media/rId31.png" ContentType="image/png"/>
  <Override PartName="/word/media/rId35.png" ContentType="image/png"/>
  <Override PartName="/word/media/rId54.png" ContentType="image/png"/>
  <Override PartName="/word/media/rId49.png" ContentType="image/png"/>
  <Override PartName="/word/media/rId88.png" ContentType="image/png"/>
  <Override PartName="/word/media/rId7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2026-02-11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Pacific salmon (</w:t>
      </w:r>
      <w:r>
        <w:rPr>
          <w:i/>
          <w:iCs/>
        </w:rPr>
        <w:t xml:space="preserve">Oncorhynchus</w:t>
      </w:r>
      <w:r>
        <w:t xml:space="preserve"> </w:t>
      </w:r>
      <w:r>
        <w:t xml:space="preserve">spp.) populations are generally declining in Canada, while the number of populations monitored continues to drop, despite considerable attention towards policies and recovery programs for salmon conservation. Wild-origin salmon abundance declines are recognized as a consequence of numerous aspects of human activity, including the loss or degradation of habitat, climate change, hatchery pressures, and harvest. Addressing these threats requires coordinated action across a fragmented governance landscape where federal jurisdiction over fisheries intersects with provincial authority over freshwater habitat, creating regulatory complexity that impedes effective stewardship. Practitioners often lack accessible frameworks for navigating the legislative architecture governing salmon and their ecosystems. To address this gap, we present the Legislation Applicable to Pacific Salmon and Ecosystems (LAPSE) framework, which is a systematic process and open-source tool that bridges regulatory language with standardized threat classifications. We accumulated 196 Canadian federal and British Columbian provincial statutes relevant to Pacific salmon stewardship and parsed them by individual clause using automated HTML extraction. Using keyword-matching algorithms, we assigned clauses by</w:t>
      </w:r>
      <w:r>
        <w:t xml:space="preserve"> </w:t>
      </w:r>
      <w:r>
        <w:t xml:space="preserve">“</w:t>
      </w:r>
      <w:r>
        <w:t xml:space="preserve">management domains</w:t>
      </w:r>
      <w:r>
        <w:t xml:space="preserve">”</w:t>
      </w:r>
      <w:r>
        <w:t xml:space="preserve"> </w:t>
      </w:r>
      <w:r>
        <w:t xml:space="preserve">that we define as discrete areas of administrative concern. These management domains align with the</w:t>
      </w:r>
      <w:r>
        <w:t xml:space="preserve"> </w:t>
      </w:r>
      <w:r>
        <w:rPr>
          <w:i/>
          <w:iCs/>
        </w:rPr>
        <w:t xml:space="preserve">International Union for Conservation of Nature–Conservation Measures Partnership</w:t>
      </w:r>
      <w:r>
        <w:t xml:space="preserve"> </w:t>
      </w:r>
      <w:r>
        <w:t xml:space="preserve">(IUCN-CMP)</w:t>
      </w:r>
      <w:r>
        <w:t xml:space="preserve"> </w:t>
      </w:r>
      <w:r>
        <w:rPr>
          <w:i/>
          <w:iCs/>
        </w:rPr>
        <w:t xml:space="preserve">Direct Threats Classification version 4.0</w:t>
      </w:r>
      <w:r>
        <w:t xml:space="preserve">. Additionally, we categorized clauses by salmon-specific scope (from direct salmon references to general governance) and clause type (e.g., prohibition, authorization, designation). Our analysis reveals that spatial designation and pollution-related provisions are most prevalent across both jurisdictions. Fisheries (harvest) management of salmon is primarily federal, while water use regulations are mostly provincial, which reflects a structural disconnect between harvest control and habitat protection. Case studies linking Fisheries and Oceans Canada’s (DFO) Recovery Potential Assessment threat rankings for assessed Designatable Units to corresponding legislation demonstrate the framework’s utility for identifying regulatory pathways relevant to specific threats. The LAPSE framework provides salmon stewardship practitioners with navigability of the legal landscape, enabling more informed evaluation of regulatory tools available to address threats and supporting the development of coordinated, inter-jurisdictional recovery strategies.</w:t>
      </w:r>
    </w:p>
    <w:bookmarkEnd w:id="20"/>
    <w:bookmarkStart w:id="24" w:name="introduction"/>
    <w:p>
      <w:pPr>
        <w:pStyle w:val="Heading1"/>
      </w:pPr>
      <w:r>
        <w:t xml:space="preserve">Introduction</w:t>
      </w:r>
    </w:p>
    <w:bookmarkStart w:id="21"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1"/>
    <w:bookmarkStart w:id="22"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2"/>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IUCN-CMP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CMP Level 2 threat categories with Management Domain in relation to legislation and jurisdiction." title="" id="26" name="Picture"/>
            <a:graphic>
              <a:graphicData uri="http://schemas.openxmlformats.org/drawingml/2006/picture">
                <pic:pic>
                  <pic:nvPicPr>
                    <pic:cNvPr descr="../assets/Management%20Domain%20Flowchart.png" id="27" name="Picture"/>
                    <pic:cNvPicPr>
                      <a:picLocks noChangeArrowheads="1" noChangeAspect="1"/>
                    </pic:cNvPicPr>
                  </pic:nvPicPr>
                  <pic:blipFill>
                    <a:blip r:embed="rId25"/>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8" w:name="fig:fig-flowchart-image"/>
      <w:bookmarkEnd w:id="28"/>
      <w:r>
        <w:t xml:space="preserve">Figure 1: Flowchart showing alignment of IUCN-CMP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 2. Agriculture &amp; Aquaculture and 8. Invasive / Other Problematic Species, Genes &amp; Pathogens, but would be more specifically aligned with the IUCN-CMP Level 2 categories: 2.4 Marine &amp; Freshwater Aquaculture and 8.3 Introduced Genetic Material. For clarity and better alignment, we created a management domain called Aquaculture and Hatcheries. A similar misalignment occurs when assessing the provincial</w:t>
      </w:r>
      <w:r>
        <w:t xml:space="preserve"> </w:t>
      </w:r>
      <w:r>
        <w:rPr>
          <w:i/>
          <w:iCs/>
        </w:rPr>
        <w:t xml:space="preserve">Forest And Range Practices Act</w:t>
      </w:r>
      <w:r>
        <w:t xml:space="preserve">. Since the management domain categories were derived as close as possible to the IUCN-CMP threat categories (a mix of Level 1 and Level 2), most can be viewed as equivalent.</w:t>
      </w:r>
    </w:p>
    <w:p>
      <w:pPr>
        <w:pStyle w:val="TableCaption"/>
      </w:pPr>
      <w:bookmarkStart w:id="29" w:name="tab:management-domain-threat-table"/>
      <w:bookmarkEnd w:id="29"/>
      <w:r>
        <w:t xml:space="preserve">Table 1:</w:t>
      </w:r>
      <w:r>
        <w:t xml:space="preserve"> </w:t>
      </w:r>
      <w:r>
        <w:t xml:space="preserve">Management domains and corresponding IUCN - CMP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IUCN-CMP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IUCN-CMP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30"/>
    <w:bookmarkStart w:id="48"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9" w:name="tab:legislation-summary-table"/>
      <w:bookmarkEnd w:id="39"/>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40"/>
    <w:bookmarkStart w:id="45"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5"/>
    <w:bookmarkStart w:id="46"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 1.2 Commercial &amp; Industrial Areas, 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adjacent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7"/>
    <w:bookmarkEnd w:id="48"/>
    <w:bookmarkStart w:id="72" w:name="results"/>
    <w:p>
      <w:pPr>
        <w:pStyle w:val="Heading1"/>
      </w:pPr>
      <w:r>
        <w:t xml:space="preserve">Results</w:t>
      </w:r>
    </w:p>
    <w:bookmarkStart w:id="53"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Spatial Designation and Pollution were the management domains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five for section count, with a majority of sections under federal jurisdiction. Water Use and Watercourse Modifications was in the top three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3566160"/>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End w:id="53"/>
    <w:bookmarkStart w:id="58"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can comprise a management domain; however 9.1 Water-Borne &amp; Other Effluent Pollution matched with the highest number of sections followed by 7.2 Dams &amp; Water Management / Use and 5.4 Fishing, Harvesting &amp; Controlling Aquatic Species. This assessment shows the proportional layout of historic legal attention given to topics, where pollution receives a large amount of attention, while topics such as temperature changes receives very little legal attention.</w:t>
      </w:r>
    </w:p>
    <w:p>
      <w:pPr>
        <w:pStyle w:val="CaptionedFigure"/>
      </w:pPr>
      <w:r>
        <w:drawing>
          <wp:inline>
            <wp:extent cx="5943600" cy="4754880"/>
            <wp:effectExtent b="0" l="0" r="0" t="0"/>
            <wp:docPr descr="Figure 6: Section counts by IUCN-CMP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IUCN-CMP threat category, separated by jurisdiction.</w:t>
      </w:r>
    </w:p>
    <w:bookmarkEnd w:id="58"/>
    <w:bookmarkStart w:id="64"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9" w:name="tab:scope-tally"/>
      <w:bookmarkEnd w:id="59"/>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3566160"/>
            <wp:effectExtent b="0" l="0" r="0" t="0"/>
            <wp:docPr descr="Figure 7: Count of sections by legislation for scope category ‘1 - Salmon’, coloured by jurisdiction." title="" id="61" name="Picture"/>
            <a:graphic>
              <a:graphicData uri="http://schemas.openxmlformats.org/drawingml/2006/picture">
                <pic:pic>
                  <pic:nvPicPr>
                    <pic:cNvPr descr="LAPSE_primary_publication_files/figure-docx/section-count-salmon-scope-1.png" id="62" name="Picture"/>
                    <pic:cNvPicPr>
                      <a:picLocks noChangeArrowheads="1" noChangeAspect="1"/>
                    </pic:cNvPicPr>
                  </pic:nvPicPr>
                  <pic:blipFill>
                    <a:blip r:embed="rId6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63" w:name="fig:section-count-salmon-scope"/>
      <w:bookmarkEnd w:id="63"/>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4"/>
    <w:bookmarkStart w:id="66"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5" w:name="tab:clause-type-with-domain-tally"/>
      <w:bookmarkEnd w:id="65"/>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6"/>
    <w:bookmarkStart w:id="71" w:name="co-occurrence-of-management-domains"/>
    <w:p>
      <w:pPr>
        <w:pStyle w:val="Heading2"/>
      </w:pPr>
      <w:r>
        <w:t xml:space="preserve">Co-occurrence of management domains</w:t>
      </w:r>
    </w:p>
    <w:p>
      <w:pPr>
        <w:pStyle w:val="FirstParagraph"/>
      </w:pPr>
      <w:r>
        <w:t xml:space="preserve">The LAPSE keyword matching process allows that multiple management domains (and IUCN-CMP threats) can be matched to clauses and sections. For example the provincial</w:t>
      </w:r>
      <w:r>
        <w:t xml:space="preserve"> </w:t>
      </w:r>
      <w:r>
        <w:rPr>
          <w:i/>
          <w:iCs/>
        </w:rPr>
        <w:t xml:space="preserve">Land-based Finfish Waste Control Regulation</w:t>
      </w:r>
      <w:r>
        <w:t xml:space="preserve"> </w:t>
      </w:r>
      <w:r>
        <w:t xml:space="preserve">(</w:t>
      </w:r>
      <w:r>
        <w:rPr>
          <w:i/>
          <w:iCs/>
        </w:rPr>
        <w:t xml:space="preserve">Environmental Management Act</w:t>
      </w:r>
      <w:r>
        <w:t xml:space="preserve">)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Keywords in 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 This dynamic is not a flaw, but rather a way of showing the complexities of legal language as related to salmon stewardship. Domain co-occurrence within sections allows for an interesting study of how management domains overlap (Figure</w:t>
      </w:r>
      <w:r>
        <w:t xml:space="preserve"> </w:t>
      </w:r>
      <w:r>
        <w:t xml:space="preserve">8</w:t>
      </w:r>
      <w:r>
        <w:t xml:space="preserve">).</w:t>
      </w:r>
    </w:p>
    <w:p>
      <w:pPr>
        <w:pStyle w:val="CaptionedFigure"/>
      </w:pPr>
      <w:r>
        <w:drawing>
          <wp:inline>
            <wp:extent cx="5943600" cy="4457699"/>
            <wp:effectExtent b="0" l="0" r="0" t="0"/>
            <wp:docPr descr="Figure 8: Management domain co-occurrence associations by section count." title="" id="68" name="Picture"/>
            <a:graphic>
              <a:graphicData uri="http://schemas.openxmlformats.org/drawingml/2006/picture">
                <pic:pic>
                  <pic:nvPicPr>
                    <pic:cNvPr descr="LAPSE_primary_publication_files/figure-docx/co-occurrence-pairs-1.png" id="69" name="Picture"/>
                    <pic:cNvPicPr>
                      <a:picLocks noChangeArrowheads="1" noChangeAspect="1"/>
                    </pic:cNvPicPr>
                  </pic:nvPicPr>
                  <pic:blipFill>
                    <a:blip r:embed="rId67"/>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0" w:name="fig:co-occurrence-pairs"/>
      <w:bookmarkEnd w:id="70"/>
      <w:r>
        <w:t xml:space="preserve">Figure 8: Management domain co-occurrence associations by section count.</w:t>
      </w:r>
    </w:p>
    <w:bookmarkEnd w:id="71"/>
    <w:bookmarkEnd w:id="72"/>
    <w:bookmarkStart w:id="97"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populations below the level of a recognized taxonomic species if the populations have attributes that make them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outlines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often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 frame, such as a human lifetime or a specified number of salmon generations</w:t>
      </w:r>
      <w:r>
        <w:t xml:space="preserve">”</w:t>
      </w:r>
      <w:r>
        <w:t xml:space="preserve"> </w:t>
      </w:r>
      <w:r>
        <w:t xml:space="preserve">(DFO 2005)</w:t>
      </w:r>
      <w:r>
        <w:t xml:space="preserve">. In most cases, DUs and CUs are equivalent with some lumping and splitting for specific populations. Any differences are explained within the RPA documents</w:t>
      </w:r>
      <w:r>
        <w:t xml:space="preserve"> </w:t>
      </w:r>
      <w:r>
        <w:t xml:space="preserve">(DFO 2019, 2020; Mahony et al. 2019; Arbeider et al. 2020; Dionne 2023; Doutaz et al. 2023)</w:t>
      </w:r>
      <w:r>
        <w:t xml:space="preserve">. Since the RPA population and habitat descriptions, along with corresponding threats, are conducted in the context of DUs, we incorporated DUs for the purpose of this study.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73" w:name="tab:du-species-du-name-table"/>
      <w:bookmarkEnd w:id="73"/>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BodyText"/>
      </w:pPr>
    </w:p>
    <w:p>
      <w:pPr>
        <w:pStyle w:val="BodyText"/>
      </w:pPr>
      <w:r>
        <w:t xml:space="preserve">The RPA process identified two IUCN-CMP threat categories as being an</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 10.1 Geological Events received an extreme ranking, and 7.2 Dams &amp; Water Management / Use received an extreme-high ranking. These two categories were chosen to assess the categories as case studies.</w:t>
      </w:r>
    </w:p>
    <w:p>
      <w:pPr>
        <w:pStyle w:val="CaptionedFigure"/>
      </w:pPr>
      <w:r>
        <w:drawing>
          <wp:inline>
            <wp:extent cx="5943600" cy="4457699"/>
            <wp:effectExtent b="0" l="0" r="0" t="0"/>
            <wp:docPr descr="Figure 9: Threat ranking categories assigned by IUCN-CMP threat categories for Designatable Units of Pacific salmon assessed through the Recovery Potential Assessment process." title="" id="75" name="Picture"/>
            <a:graphic>
              <a:graphicData uri="http://schemas.openxmlformats.org/drawingml/2006/picture">
                <pic:pic>
                  <pic:nvPicPr>
                    <pic:cNvPr descr="LAPSE_primary_publication_files/figure-docx/d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du-ranking-heatmap"/>
      <w:bookmarkEnd w:id="77"/>
      <w:r>
        <w:t xml:space="preserve">Figure 9: Threat ranking categories assigned by IUCN-CMP threat categories for Designatable Units of Pacific salmon assessed through the Recovery Potential Assessment process.</w:t>
      </w:r>
    </w:p>
    <w:p>
      <w:pPr>
        <w:pStyle w:val="Compact"/>
        <w:numPr>
          <w:ilvl w:val="0"/>
          <w:numId w:val="1003"/>
        </w:numPr>
      </w:pPr>
      <w:r>
        <w:rPr>
          <w:b/>
          <w:bCs/>
        </w:rPr>
        <w:t xml:space="preserve">Dan - the heatmap chart no longer shows a count for the number of DUs, it just lists the threat rankings available. I think that should help with the bias. I don’t list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in this graphic, I’m making that an assumed category. But I could add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and treat missing values like Pathogens as an</w:t>
      </w:r>
      <w:r>
        <w:rPr>
          <w:b/>
          <w:bCs/>
        </w:rPr>
        <w:t xml:space="preserve"> </w:t>
      </w:r>
      <w:r>
        <w:rPr>
          <w:b/>
          <w:bCs/>
        </w:rPr>
        <w:t xml:space="preserve">“</w:t>
      </w:r>
      <w:r>
        <w:rPr>
          <w:b/>
          <w:bCs/>
        </w:rPr>
        <w:t xml:space="preserve">Unknown</w:t>
      </w:r>
      <w:r>
        <w:rPr>
          <w:b/>
          <w:bCs/>
        </w:rPr>
        <w:t xml:space="preserve">”</w:t>
      </w:r>
      <w:r>
        <w:rPr>
          <w:b/>
          <w:bCs/>
        </w:rPr>
        <w:t xml:space="preserve">? Let me know what you think.</w:t>
      </w:r>
    </w:p>
    <w:bookmarkStart w:id="87" w:name="X3856333e90bd91383dfc840e5ad71f8d7a91bc0"/>
    <w:p>
      <w:pPr>
        <w:pStyle w:val="Heading2"/>
      </w:pPr>
      <w:r>
        <w:t xml:space="preserve">Case Study: IUCN-CMP 10.1 Geological Events</w:t>
      </w:r>
    </w:p>
    <w:p>
      <w:pPr>
        <w:pStyle w:val="FirstParagraph"/>
      </w:pPr>
      <w:r>
        <w:t xml:space="preserve">Geologic events, specifically landslides, were rated as</w:t>
      </w:r>
      <w:r>
        <w:t xml:space="preserve"> </w:t>
      </w:r>
      <w:r>
        <w:t xml:space="preserve">“</w:t>
      </w:r>
      <w:r>
        <w:t xml:space="preserve">Extreme</w:t>
      </w:r>
      <w:r>
        <w:t xml:space="preserve">”</w:t>
      </w:r>
      <w:r>
        <w:t xml:space="preserve"> </w:t>
      </w:r>
      <w:r>
        <w:t xml:space="preserve">for three DUs of Fraser River Chinook and one DU of Fraser sockeye (Table</w:t>
      </w:r>
      <w:r>
        <w:t xml:space="preserve"> </w:t>
      </w:r>
      <w:r>
        <w:t xml:space="preserve">6</w:t>
      </w:r>
      <w:r>
        <w:t xml:space="preserve">;</w:t>
      </w:r>
      <w:r>
        <w:t xml:space="preserve"> </w:t>
      </w:r>
      <w:r>
        <w:t xml:space="preserve">DFO (2020)</w:t>
      </w:r>
      <w:r>
        <w:t xml:space="preserve">;</w:t>
      </w:r>
      <w:r>
        <w:t xml:space="preserve"> </w:t>
      </w:r>
      <w:r>
        <w:t xml:space="preserve">Doutaz et al. (2023)</w:t>
      </w:r>
      <w:r>
        <w:t xml:space="preserve">). This ranking was largely due to a significant landslide on the Fraser River near Big Bar, British Columbia in late 2018 that blocked adult salmon upstream migration</w:t>
      </w:r>
      <w:r>
        <w:t xml:space="preserve"> </w:t>
      </w:r>
      <w:r>
        <w:t xml:space="preserve">(DFO 2020; Doutaz et al. 2023)</w:t>
      </w:r>
      <w:r>
        <w:t xml:space="preserve">. The published RPAs for these populations refer to this threat category as</w:t>
      </w:r>
      <w:r>
        <w:t xml:space="preserve"> </w:t>
      </w:r>
      <w:r>
        <w:t xml:space="preserve">“</w:t>
      </w:r>
      <w:r>
        <w:t xml:space="preserve">Avalanches and Landslides</w:t>
      </w:r>
      <w:r>
        <w:t xml:space="preserve">”</w:t>
      </w:r>
      <w:r>
        <w:t xml:space="preserve"> </w:t>
      </w:r>
      <w:r>
        <w:t xml:space="preserve">or</w:t>
      </w:r>
      <w:r>
        <w:t xml:space="preserve"> </w:t>
      </w:r>
      <w:r>
        <w:t xml:space="preserve">“</w:t>
      </w:r>
      <w:r>
        <w:t xml:space="preserve">Geological events (Landslides).</w:t>
      </w:r>
      <w:r>
        <w:t xml:space="preserve">”</w:t>
      </w:r>
      <w:r>
        <w:t xml:space="preserve"> </w:t>
      </w:r>
      <w:r>
        <w:t xml:space="preserve">Dionne (2023)</w:t>
      </w:r>
      <w:r>
        <w:t xml:space="preserve"> </w:t>
      </w:r>
      <w:r>
        <w:t xml:space="preserve">references</w:t>
      </w:r>
      <w:r>
        <w:t xml:space="preserve"> </w:t>
      </w:r>
      <w:r>
        <w:t xml:space="preserve">“</w:t>
      </w:r>
      <w:r>
        <w:t xml:space="preserve">IUCN-CMP threat category 10.2.</w:t>
      </w:r>
      <w:r>
        <w:t xml:space="preserve">”</w:t>
      </w:r>
      <w:r>
        <w:t xml:space="preserve"> </w:t>
      </w:r>
      <w:r>
        <w:t xml:space="preserve">However, the most current</w:t>
      </w:r>
      <w:r>
        <w:t xml:space="preserve"> </w:t>
      </w:r>
      <w:r>
        <w:rPr>
          <w:i/>
          <w:iCs/>
        </w:rPr>
        <w:t xml:space="preserve">IUCN-CMP Direct Threats Classification version 4.0</w:t>
      </w:r>
      <w:r>
        <w:t xml:space="preserve"> </w:t>
      </w:r>
      <w:r>
        <w:t xml:space="preserve">uses a slightly altered structure</w:t>
      </w:r>
      <w:r>
        <w:t xml:space="preserve"> </w:t>
      </w:r>
      <w:r>
        <w:t xml:space="preserve">(Salafsky et al. 2024)</w:t>
      </w:r>
      <w:r>
        <w:t xml:space="preserve"> </w:t>
      </w:r>
      <w:r>
        <w:t xml:space="preserve">where the the Level 2 threat is called 10.1 Geological Events, and avalanches and landslides are listed as examples of these events. We modified the classification of these assessments to fit the newest IUCN-CMP version for consistency.</w:t>
      </w:r>
    </w:p>
    <w:p>
      <w:pPr>
        <w:pStyle w:val="TableCaption"/>
      </w:pPr>
      <w:bookmarkStart w:id="78" w:name="tab:du-extreme-threat-table"/>
      <w:bookmarkEnd w:id="78"/>
      <w:r>
        <w:t xml:space="preserve">Table 6:</w:t>
      </w:r>
      <w:r>
        <w:t xml:space="preserve"> </w:t>
      </w:r>
      <w:r>
        <w:t xml:space="preserve">List of Pacific salmon Designatable Units where an 'Extreme' rating was assigned to the 10.1 Geological Events IUCN-CMP threat category through the RPA process.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r>
    </w:tbl>
    <w:p>
      <w:pPr>
        <w:pStyle w:val="BodyText"/>
      </w:pPr>
    </w:p>
    <w:p>
      <w:pPr>
        <w:pStyle w:val="BodyText"/>
      </w:pPr>
      <w:r>
        <w:t xml:space="preserve">The Big Bar landslide on the Fraser River in 2018 impacted approximately 80% of the Fraser salmon stocks</w:t>
      </w:r>
      <w:r>
        <w:t xml:space="preserve"> </w:t>
      </w:r>
      <w:r>
        <w:t xml:space="preserve">(Doutaz et al. 2023)</w:t>
      </w:r>
      <w:r>
        <w:t xml:space="preserve">. The blockage created a massive impediment to returning adult salmon, and occurred in a narrow and remote reach of the Fraser River where few options for mitigation were available. Landslides, in general, can occur naturally, but the severity and frequency can also be exacerbated by human activities such as landscape-scale changes and climate change</w:t>
      </w:r>
      <w:r>
        <w:t xml:space="preserve"> </w:t>
      </w:r>
      <w:r>
        <w:t xml:space="preserve">(Doutaz et al. 2023)</w:t>
      </w:r>
      <w:r>
        <w:t xml:space="preserve">. This indirect connection to human activities means that 10.1 Geological Events is not a large category to be matched with regulation. The LAPSE process and tool matched eight pieces of federal and provincial legislation specific to 10.1 Geological Events (Figure</w:t>
      </w:r>
      <w:r>
        <w:t xml:space="preserve"> </w:t>
      </w:r>
      <w:r>
        <w:t xml:space="preserve">6</w:t>
      </w:r>
      <w:r>
        <w:t xml:space="preserve">), largely related to forestry.</w:t>
      </w:r>
    </w:p>
    <w:p>
      <w:pPr>
        <w:pStyle w:val="CaptionedFigure"/>
      </w:pPr>
      <w:r>
        <w:drawing>
          <wp:inline>
            <wp:extent cx="5943600" cy="2377440"/>
            <wp:effectExtent b="0" l="0" r="0" t="0"/>
            <wp:docPr descr="Figure 10: Count of sections by legislation for IUCN threat category 10.1 Geological Events, coloured by jurisdiction." title="" id="80" name="Picture"/>
            <a:graphic>
              <a:graphicData uri="http://schemas.openxmlformats.org/drawingml/2006/picture">
                <pic:pic>
                  <pic:nvPicPr>
                    <pic:cNvPr descr="LAPSE_primary_publication_files/figure-docx/section-count-iucn-geological-1.png" id="81" name="Picture"/>
                    <pic:cNvPicPr>
                      <a:picLocks noChangeArrowheads="1" noChangeAspect="1"/>
                    </pic:cNvPicPr>
                  </pic:nvPicPr>
                  <pic:blipFill>
                    <a:blip r:embed="rId79"/>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bookmarkStart w:id="82" w:name="fig:section-count-iucn-geological"/>
      <w:bookmarkEnd w:id="82"/>
      <w:r>
        <w:t xml:space="preserve">Figure 10: Count of sections by legislation for IUCN threat category 10.1 Geological Events, coloured by jurisdiction.</w:t>
      </w:r>
    </w:p>
    <w:p>
      <w:pPr>
        <w:pStyle w:val="BodyText"/>
      </w:pPr>
      <w:r>
        <w:t xml:space="preserve">Users of the LAPSE process and tool who might be researching geological events such as landslides can get a list of possibly relevant legislation and will see that this legislation is mostly tied to forestry in British Columbia. As well, the user can see that the nature of the clauses are mostly</w:t>
      </w:r>
      <w:r>
        <w:t xml:space="preserve"> </w:t>
      </w:r>
      <w:r>
        <w:t xml:space="preserve">“</w:t>
      </w:r>
      <w:r>
        <w:t xml:space="preserve">Instruction</w:t>
      </w:r>
      <w:r>
        <w:t xml:space="preserve">”</w:t>
      </w:r>
      <w:r>
        <w:t xml:space="preserve"> </w:t>
      </w:r>
      <w:r>
        <w:t xml:space="preserve">and</w:t>
      </w:r>
      <w:r>
        <w:t xml:space="preserve"> </w:t>
      </w:r>
      <w:r>
        <w:t xml:space="preserve">“</w:t>
      </w:r>
      <w:r>
        <w:t xml:space="preserve">Designation</w:t>
      </w:r>
      <w:r>
        <w:t xml:space="preserve">”</w:t>
      </w:r>
      <w:r>
        <w:t xml:space="preserve"> </w:t>
      </w:r>
      <w:r>
        <w:t xml:space="preserve">(Figure</w:t>
      </w:r>
      <w:r>
        <w:t xml:space="preserve"> </w:t>
      </w:r>
      <w:r>
        <w:t xml:space="preserve">11</w:t>
      </w:r>
      <w:r>
        <w:t xml:space="preserve">). The provincial</w:t>
      </w:r>
      <w:r>
        <w:t xml:space="preserve"> </w:t>
      </w:r>
      <w:r>
        <w:rPr>
          <w:i/>
          <w:iCs/>
        </w:rPr>
        <w:t xml:space="preserve">Forest Planning and Practices Regulation</w:t>
      </w:r>
      <w:r>
        <w:t xml:space="preserve"> </w:t>
      </w:r>
      <w:r>
        <w:t xml:space="preserve">under the</w:t>
      </w:r>
      <w:r>
        <w:t xml:space="preserve"> </w:t>
      </w:r>
      <w:r>
        <w:rPr>
          <w:i/>
          <w:iCs/>
        </w:rPr>
        <w:t xml:space="preserve">Forest and Range Practices Act</w:t>
      </w:r>
      <w:r>
        <w:t xml:space="preserve"> </w:t>
      </w:r>
      <w:r>
        <w:t xml:space="preserve">appears as one of the most relevant statutes specific to landslides. Examples of matched sections include: Section 3,</w:t>
      </w:r>
      <w:r>
        <w:t xml:space="preserve"> </w:t>
      </w:r>
      <w:r>
        <w:t xml:space="preserve">“</w:t>
      </w:r>
      <w:r>
        <w:t xml:space="preserve">Damage to the environment,</w:t>
      </w:r>
      <w:r>
        <w:t xml:space="preserve">”</w:t>
      </w:r>
      <w:r>
        <w:t xml:space="preserve"> </w:t>
      </w:r>
      <w:r>
        <w:t xml:space="preserve">which states</w:t>
      </w:r>
      <w:r>
        <w:t xml:space="preserve"> </w:t>
      </w:r>
      <w:r>
        <w:t xml:space="preserve">“</w:t>
      </w:r>
      <w:r>
        <w:t xml:space="preserve">(1)For the purpose of section 46 (1) and (1.1)</w:t>
      </w:r>
      <w:r>
        <w:t xml:space="preserve"> </w:t>
      </w:r>
      <w:r>
        <w:rPr>
          <w:i/>
          <w:iCs/>
        </w:rPr>
        <w:t xml:space="preserve">[protection of the environment]</w:t>
      </w:r>
      <w:r>
        <w:t xml:space="preserve"> </w:t>
      </w:r>
      <w:r>
        <w:t xml:space="preserve">of the Act,</w:t>
      </w:r>
      <w:r>
        <w:t xml:space="preserve"> </w:t>
      </w:r>
      <w:r>
        <w:t xml:space="preserve">‘</w:t>
      </w:r>
      <w:r>
        <w:t xml:space="preserve">damage</w:t>
      </w:r>
      <w:r>
        <w:t xml:space="preserve">’</w:t>
      </w:r>
      <w:r>
        <w:t xml:space="preserve"> </w:t>
      </w:r>
      <w:r>
        <w:t xml:space="preserve">means any of the following that adversely alters an ecosystem: (a)a landslide…</w:t>
      </w:r>
      <w:r>
        <w:t xml:space="preserve">”</w:t>
      </w:r>
      <w:r>
        <w:t xml:space="preserve"> </w:t>
      </w:r>
      <w:r>
        <w:t xml:space="preserve">As well, Section 37,</w:t>
      </w:r>
      <w:r>
        <w:t xml:space="preserve"> </w:t>
      </w:r>
      <w:r>
        <w:t xml:space="preserve">“</w:t>
      </w:r>
      <w:r>
        <w:t xml:space="preserve">Landslides,</w:t>
      </w:r>
      <w:r>
        <w:t xml:space="preserve">”</w:t>
      </w:r>
      <w:r>
        <w:t xml:space="preserve"> </w:t>
      </w:r>
      <w:r>
        <w:t xml:space="preserve">states,</w:t>
      </w:r>
      <w:r>
        <w:t xml:space="preserve"> </w:t>
      </w:r>
      <w:r>
        <w:t xml:space="preserve">“</w:t>
      </w:r>
      <w:r>
        <w:t xml:space="preserve">An authorized person who carries out a primary forest activity must ensure that the primary forest activity does not cause a landslide that has a material adverse effect in relation to one or more of the subjects listed in section 149 (1) of the Act.</w:t>
      </w:r>
      <w:r>
        <w:t xml:space="preserve">”</w:t>
      </w:r>
    </w:p>
    <w:p>
      <w:pPr>
        <w:pStyle w:val="CaptionedFigure"/>
      </w:pPr>
      <w:r>
        <w:drawing>
          <wp:inline>
            <wp:extent cx="5943600" cy="2701636"/>
            <wp:effectExtent b="0" l="0" r="0" t="0"/>
            <wp:docPr descr="Figure 11: Section counts by clause type and legislation for IUCN-CMP threat category 10.1 Geological Events. Dot size represents section count." title="" id="84" name="Picture"/>
            <a:graphic>
              <a:graphicData uri="http://schemas.openxmlformats.org/drawingml/2006/picture">
                <pic:pic>
                  <pic:nvPicPr>
                    <pic:cNvPr descr="LAPSE_primary_publication_files/figure-docx/fig-clause-type-geological-events-1.png" id="85" name="Picture"/>
                    <pic:cNvPicPr>
                      <a:picLocks noChangeArrowheads="1" noChangeAspect="1"/>
                    </pic:cNvPicPr>
                  </pic:nvPicPr>
                  <pic:blipFill>
                    <a:blip r:embed="rId83"/>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86" w:name="fig:fig-clause-type-geological-events"/>
      <w:bookmarkEnd w:id="86"/>
      <w:r>
        <w:t xml:space="preserve">Figure 11: Section counts by clause type and legislation for IUCN-CMP threat category 10.1 Geological Events. Dot size represents section count.</w:t>
      </w:r>
    </w:p>
    <w:p>
      <w:pPr>
        <w:pStyle w:val="BodyText"/>
      </w:pPr>
    </w:p>
    <w:bookmarkEnd w:id="87"/>
    <w:bookmarkStart w:id="96" w:name="X15485f2d7aa370fe8bb44ad6615478afca66336"/>
    <w:p>
      <w:pPr>
        <w:pStyle w:val="Heading2"/>
      </w:pPr>
      <w:r>
        <w:t xml:space="preserve">Case Study: IUCN-CMP 7.2 Dams &amp; Water Management / Use</w:t>
      </w:r>
    </w:p>
    <w:p>
      <w:pPr>
        <w:pStyle w:val="FirstParagraph"/>
      </w:pPr>
      <w:r>
        <w:t xml:space="preserve">The</w:t>
      </w:r>
      <w:r>
        <w:t xml:space="preserve"> </w:t>
      </w:r>
      <w:r>
        <w:t xml:space="preserve">“</w:t>
      </w:r>
      <w:r>
        <w:t xml:space="preserve">Extreme-High</w:t>
      </w:r>
      <w:r>
        <w:t xml:space="preserve">”</w:t>
      </w:r>
      <w:r>
        <w:t xml:space="preserve"> </w:t>
      </w:r>
      <w:r>
        <w:t xml:space="preserve">rating was applied to one threat category through DFO’s Recovery Potential Assessment processes. The</w:t>
      </w:r>
      <w:r>
        <w:t xml:space="preserve"> </w:t>
      </w:r>
      <w:r>
        <w:rPr>
          <w:i/>
          <w:iCs/>
        </w:rPr>
        <w:t xml:space="preserve">Recovery Potential Assessment for 11 Designatable Units of Fraser River Chinook salmon, Oncorhynchus tshawytcha, Part 1: Elements 1 to 11</w:t>
      </w:r>
      <w:r>
        <w:t xml:space="preserve"> </w:t>
      </w:r>
      <w:r>
        <w:t xml:space="preserve">applied the rating to a threat category called</w:t>
      </w:r>
      <w:r>
        <w:t xml:space="preserve"> </w:t>
      </w:r>
      <w:r>
        <w:t xml:space="preserve">“</w:t>
      </w:r>
      <w:r>
        <w:t xml:space="preserve">Natural systems modifications (Water management, ecosystems modifications),</w:t>
      </w:r>
      <w:r>
        <w:t xml:space="preserve">”</w:t>
      </w:r>
      <w:r>
        <w:t xml:space="preserve"> </w:t>
      </w:r>
      <w:r>
        <w:t xml:space="preserve">which applies to one Fraser River Chinook DU: the South Thompson, Stream, Summer (Bessette) DU14 [@dfo2020]. The RPA provides a rationale specific to the Bessette Creek Chinook DU:</w:t>
      </w:r>
    </w:p>
    <w:p>
      <w:pPr>
        <w:pStyle w:val="Quote"/>
      </w:pPr>
      <w:r>
        <w:t xml:space="preserve">Groundwater extraction is of particular concern to stream-type Chinook Salmon as these populations are highly dependent on hyporheic and groundwater inputs for much of their freshwater residence. Hyporheic and groundwater upwelling protects redds from anchor-ice formation, maintains suitable temperatures for late-summer rearing habitats, moderates temperatures and water levels for returning adults, and creates thermal refugia. Despite the critical dependence of stream-resident salmonids on hyporheic and groundwater, in the past, groundwater extraction has not been actively managed. Surface water resources are also fully subscribed in many rivers, particularly in the arid southern interior. 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p>
    <w:p>
      <w:pPr>
        <w:pStyle w:val="BodyText"/>
      </w:pPr>
      <w:r>
        <w:t xml:space="preserve">The</w:t>
      </w:r>
      <w:r>
        <w:t xml:space="preserve"> </w:t>
      </w:r>
      <w:r>
        <w:rPr>
          <w:i/>
          <w:iCs/>
        </w:rPr>
        <w:t xml:space="preserve">IUCN-CMP Direct Threats Classification version 4.0</w:t>
      </w:r>
      <w:r>
        <w:t xml:space="preserve"> </w:t>
      </w:r>
      <w:r>
        <w:t xml:space="preserve">lists dam construction, dam operations, levees and dikes, channelization, highway culverts, wetland draining, water catchment areas, surface water withdrawals, and groundwater pumping as examples of 7.2 Dams and Water Management / Use, and no longer lists</w:t>
      </w:r>
      <w:r>
        <w:t xml:space="preserve"> </w:t>
      </w:r>
      <w:r>
        <w:t xml:space="preserve">“</w:t>
      </w:r>
      <w:r>
        <w:t xml:space="preserve">Natural systems modifications</w:t>
      </w:r>
      <w:r>
        <w:t xml:space="preserve">”</w:t>
      </w:r>
      <w:r>
        <w:t xml:space="preserve"> </w:t>
      </w:r>
      <w:r>
        <w:t xml:space="preserve">as a threat category. We followed the version 4.0 category structure for consistency and considered the</w:t>
      </w:r>
      <w:r>
        <w:t xml:space="preserve"> </w:t>
      </w:r>
      <w:r>
        <w:t xml:space="preserve">“</w:t>
      </w:r>
      <w:r>
        <w:t xml:space="preserve">Natural systems modifications</w:t>
      </w:r>
      <w:r>
        <w:t xml:space="preserve">”</w:t>
      </w:r>
      <w:r>
        <w:t xml:space="preserve"> </w:t>
      </w:r>
      <w:r>
        <w:t xml:space="preserve">as applying to 7.2 Dams and Water Management / Use since water extraction was described as the most significant factor for this threat in the RPA.</w:t>
      </w:r>
    </w:p>
    <w:p>
      <w:pPr>
        <w:pStyle w:val="BodyText"/>
      </w:pPr>
      <w:r>
        <w:t xml:space="preserve">In contrast to the previous case study, 7.2 Dams and Water Management / Use is one of the largest categories found within the accumulated legislation, matching with 105 statutes, 814 sections, and 3117 clauses. However, just like the previous case study, the most relevant legislation is in the provincial jurisdiction (Figure</w:t>
      </w:r>
      <w:r>
        <w:t xml:space="preserve"> </w:t>
      </w:r>
      <w:r>
        <w:t xml:space="preserve">6</w:t>
      </w:r>
      <w:r>
        <w:t xml:space="preserve">), and the BC</w:t>
      </w:r>
      <w:r>
        <w:t xml:space="preserve"> </w:t>
      </w:r>
      <w:r>
        <w:rPr>
          <w:i/>
          <w:iCs/>
        </w:rPr>
        <w:t xml:space="preserve">Water Sustainability Act</w:t>
      </w:r>
      <w:r>
        <w:t xml:space="preserve"> </w:t>
      </w:r>
      <w:r>
        <w:t xml:space="preserve">stands out as the most relevant piece of legislation.</w:t>
      </w:r>
    </w:p>
    <w:p>
      <w:pPr>
        <w:pStyle w:val="CaptionedFigure"/>
      </w:pPr>
      <w:r>
        <w:drawing>
          <wp:inline>
            <wp:extent cx="5943600" cy="4457699"/>
            <wp:effectExtent b="0" l="0" r="0" t="0"/>
            <wp:docPr descr="Figure 12: Count of sections by legislation for IUCN threat category 7.2 Dams &amp; Water Management / Use, coloured by jurisdiction. Top 15 legislation shown." title="" id="89" name="Picture"/>
            <a:graphic>
              <a:graphicData uri="http://schemas.openxmlformats.org/drawingml/2006/picture">
                <pic:pic>
                  <pic:nvPicPr>
                    <pic:cNvPr descr="LAPSE_primary_publication_files/figure-docx/section-count-iucn-dams-water-1.png" id="90" name="Picture"/>
                    <pic:cNvPicPr>
                      <a:picLocks noChangeArrowheads="1" noChangeAspect="1"/>
                    </pic:cNvPicPr>
                  </pic:nvPicPr>
                  <pic:blipFill>
                    <a:blip r:embed="rId8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91" w:name="fig:section-count-iucn-dams-water"/>
      <w:bookmarkEnd w:id="91"/>
      <w:r>
        <w:t xml:space="preserve">Figure 12: Count of sections by legislation for IUCN threat category 7.2 Dams &amp; Water Management / Use, coloured by jurisdiction. Top 15 legislation shown.</w:t>
      </w:r>
    </w:p>
    <w:p>
      <w:pPr>
        <w:pStyle w:val="BodyText"/>
      </w:pPr>
      <w:r>
        <w:t xml:space="preserve">The clause type matches for 7.2 Dams and Water Management / Use 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5943600"/>
            <wp:effectExtent b="0" l="0" r="0" t="0"/>
            <wp:docPr descr="Figure 13: Section counts by clause type and legislation for IUCN-CMP threat category 7.2 Dams &amp; Water Management / Use. Dot size represents section count. Top 15 legislation shown." title="" id="93" name="Picture"/>
            <a:graphic>
              <a:graphicData uri="http://schemas.openxmlformats.org/drawingml/2006/picture">
                <pic:pic>
                  <pic:nvPicPr>
                    <pic:cNvPr descr="LAPSE_primary_publication_files/figure-docx/fig-clause-type-water-use-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bookmarkStart w:id="95" w:name="fig:fig-clause-type-water-use"/>
      <w:bookmarkEnd w:id="95"/>
      <w:r>
        <w:t xml:space="preserve">Figure 13: Section counts by clause type and legislation for IUCN-CMP threat category 7.2 Dams &amp; Water Management / Use. Dot size represents section count. Top 15 legislation shown.</w:t>
      </w:r>
    </w:p>
    <w:p>
      <w:pPr>
        <w:pStyle w:val="BodyText"/>
      </w:pPr>
      <w:r>
        <w:t xml:space="preserve">Users of the LAPSE process and tool researching water management and use would get a list of possibly relevant legislation, and would see that the top four matches are related to the BC</w:t>
      </w:r>
      <w:r>
        <w:t xml:space="preserve"> </w:t>
      </w:r>
      <w:r>
        <w:rPr>
          <w:i/>
          <w:iCs/>
        </w:rPr>
        <w:t xml:space="preserve">Water Sustainability Act</w:t>
      </w:r>
      <w:r>
        <w:t xml:space="preserve">, including the</w:t>
      </w:r>
      <w:r>
        <w:t xml:space="preserve"> </w:t>
      </w:r>
      <w:r>
        <w:rPr>
          <w:i/>
          <w:iCs/>
        </w:rPr>
        <w:t xml:space="preserve">Groundwater Protection Regulations</w:t>
      </w:r>
      <w:r>
        <w:t xml:space="preserve">. This outcome is supported by historic examples, especially in Bessette Creek watershed where the Province of British Columbia refused a groundwater use application using the</w:t>
      </w:r>
      <w:r>
        <w:t xml:space="preserve"> </w:t>
      </w:r>
      <w:r>
        <w:rPr>
          <w:i/>
          <w:iCs/>
        </w:rPr>
        <w:t xml:space="preserve">Water Sustainability Act</w:t>
      </w:r>
      <w:r>
        <w:t xml:space="preserve"> </w:t>
      </w:r>
      <w:r>
        <w:t xml:space="preserve">in 2016 citing environmental flow needs</w:t>
      </w:r>
      <w:r>
        <w:t xml:space="preserve"> </w:t>
      </w:r>
      <w:r>
        <w:t xml:space="preserve">(McCleary and Thomson 2021)</w:t>
      </w:r>
      <w:r>
        <w:t xml:space="preserve">. Both case studies show that the highest-ranking threats to Pacific salmon are governed mostly in the British Columbia provincial jurisdiction, while stock status and harvest allocations are determined federally. This relationship indicates the need for salmon stewardship to occur across collective jurisdictions.</w:t>
      </w:r>
    </w:p>
    <w:bookmarkEnd w:id="96"/>
    <w:bookmarkEnd w:id="97"/>
    <w:bookmarkStart w:id="98"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 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DFO conducts socio-economic analyses, whereas Environment and Climate Change Canada (ECCC) does not</w:t>
      </w:r>
      <w:r>
        <w:t xml:space="preserve"> </w:t>
      </w:r>
      <w:r>
        <w:t xml:space="preserve">(Turcotte et al. 2021)</w:t>
      </w:r>
      <w:r>
        <w:t xml:space="preserve">.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such as the Cultus Lake and Sakinaw Lake sockeye (</w:t>
      </w:r>
      <w:r>
        <w:t xml:space="preserve">DFO (2019)</w:t>
      </w:r>
      <w:r>
        <w:t xml:space="preserve">;</w:t>
      </w:r>
      <w:r>
        <w:t xml:space="preserve"> </w:t>
      </w:r>
      <w:r>
        <w:t xml:space="preserve">Ramshaw et al. (2019)</w:t>
      </w:r>
      <w:r>
        <w:t xml:space="preserve">), the population could still be omitted from the List of Endangered Species</w:t>
      </w:r>
      <w:r>
        <w:t xml:space="preserve"> </w:t>
      </w:r>
      <w:r>
        <w:t xml:space="preserve">(Government of Canada 2005)</w:t>
      </w:r>
      <w:r>
        <w:t xml:space="preserve"> </w:t>
      </w:r>
      <w:r>
        <w:t xml:space="preserve">for economic and political reasons, denying the population larger legislative protections.</w:t>
      </w:r>
    </w:p>
    <w:bookmarkEnd w:id="98"/>
    <w:bookmarkStart w:id="99" w:name="conclusions"/>
    <w:p>
      <w:pPr>
        <w:pStyle w:val="Heading1"/>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Pacific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increased accessibility and navigability of the legal landscape.</w:t>
      </w:r>
    </w:p>
    <w:p>
      <w:pPr>
        <w:pStyle w:val="BodyText"/>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 for such an important pillar of food security for communities across British Columbia.</w:t>
      </w:r>
    </w:p>
    <w:bookmarkEnd w:id="99"/>
    <w:bookmarkStart w:id="189" w:name="references"/>
    <w:p>
      <w:pPr>
        <w:pStyle w:val="Heading1"/>
      </w:pPr>
      <w:r>
        <w:t xml:space="preserve">References</w:t>
      </w:r>
    </w:p>
    <w:bookmarkStart w:id="188" w:name="refs"/>
    <w:bookmarkStart w:id="100"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100"/>
    <w:bookmarkStart w:id="102"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101">
        <w:r>
          <w:rPr>
            <w:rStyle w:val="Hyperlink"/>
          </w:rPr>
          <w:t xml:space="preserve">10.1101/2024.12.01.626233</w:t>
        </w:r>
      </w:hyperlink>
      <w:r>
        <w:t xml:space="preserve">.</w:t>
      </w:r>
    </w:p>
    <w:bookmarkEnd w:id="102"/>
    <w:bookmarkStart w:id="104"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103">
        <w:r>
          <w:rPr>
            <w:rStyle w:val="Hyperlink"/>
          </w:rPr>
          <w:t xml:space="preserve">10.3390/su6096024</w:t>
        </w:r>
      </w:hyperlink>
      <w:r>
        <w:t xml:space="preserve">.</w:t>
      </w:r>
    </w:p>
    <w:bookmarkEnd w:id="104"/>
    <w:bookmarkStart w:id="105"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 Library of Parliament, Canada, Ottawa, ON.</w:t>
      </w:r>
    </w:p>
    <w:bookmarkEnd w:id="105"/>
    <w:bookmarkStart w:id="107"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6">
        <w:r>
          <w:rPr>
            <w:rStyle w:val="Hyperlink"/>
          </w:rPr>
          <w:t xml:space="preserve">10.5751/ES-02784-140145</w:t>
        </w:r>
      </w:hyperlink>
      <w:r>
        <w:t xml:space="preserve">.</w:t>
      </w:r>
    </w:p>
    <w:bookmarkEnd w:id="107"/>
    <w:bookmarkStart w:id="109"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8">
        <w:r>
          <w:rPr>
            <w:rStyle w:val="Hyperlink"/>
          </w:rPr>
          <w:t xml:space="preserve">10.1139/facets-2025-0031</w:t>
        </w:r>
      </w:hyperlink>
      <w:r>
        <w:t xml:space="preserve">.</w:t>
      </w:r>
    </w:p>
    <w:bookmarkEnd w:id="109"/>
    <w:bookmarkStart w:id="111"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10">
        <w:r>
          <w:rPr>
            <w:rStyle w:val="Hyperlink"/>
          </w:rPr>
          <w:t xml:space="preserve">10.3233/EPL-2002-32_5_13</w:t>
        </w:r>
      </w:hyperlink>
      <w:r>
        <w:t xml:space="preserve">.</w:t>
      </w:r>
    </w:p>
    <w:bookmarkEnd w:id="111"/>
    <w:bookmarkStart w:id="113"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12">
        <w:r>
          <w:rPr>
            <w:rStyle w:val="Hyperlink"/>
          </w:rPr>
          <w:t xml:space="preserve">https://www.canlii.org/</w:t>
        </w:r>
      </w:hyperlink>
      <w:r>
        <w:t xml:space="preserve"> </w:t>
      </w:r>
      <w:r>
        <w:t xml:space="preserve">[accessed 18 December 2025].</w:t>
      </w:r>
    </w:p>
    <w:bookmarkEnd w:id="113"/>
    <w:bookmarkStart w:id="115"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14">
        <w:r>
          <w:rPr>
            <w:rStyle w:val="Hyperlink"/>
          </w:rPr>
          <w:t xml:space="preserve">10.1111/1365-2664.14239</w:t>
        </w:r>
      </w:hyperlink>
      <w:r>
        <w:t xml:space="preserve">.</w:t>
      </w:r>
    </w:p>
    <w:bookmarkEnd w:id="115"/>
    <w:bookmarkStart w:id="117"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6">
        <w:r>
          <w:rPr>
            <w:rStyle w:val="Hyperlink"/>
          </w:rPr>
          <w:t xml:space="preserve">https://publications.gc.ca/collections/collection_2012/bcp-pco/CP32-93-2012-3-eng.pdf</w:t>
        </w:r>
      </w:hyperlink>
      <w:r>
        <w:t xml:space="preserve">.</w:t>
      </w:r>
    </w:p>
    <w:bookmarkEnd w:id="117"/>
    <w:bookmarkStart w:id="118"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 Articles &amp; Book Chapters</w:t>
      </w:r>
      <w:r>
        <w:t xml:space="preserve"> </w:t>
      </w:r>
      <w:r>
        <w:rPr>
          <w:b/>
          <w:bCs/>
        </w:rPr>
        <w:t xml:space="preserve">52</w:t>
      </w:r>
      <w:r>
        <w:t xml:space="preserve">(2740).</w:t>
      </w:r>
    </w:p>
    <w:bookmarkEnd w:id="118"/>
    <w:bookmarkStart w:id="120"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19">
        <w:r>
          <w:rPr>
            <w:rStyle w:val="Hyperlink"/>
          </w:rPr>
          <w:t xml:space="preserve">https://cosewic.ca/index.php/en/reports/preparing-status-reports/guidelines-recognizing-designatable-units.html</w:t>
        </w:r>
      </w:hyperlink>
      <w:r>
        <w:t xml:space="preserve">.</w:t>
      </w:r>
    </w:p>
    <w:bookmarkEnd w:id="120"/>
    <w:bookmarkStart w:id="122"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21">
        <w:r>
          <w:rPr>
            <w:rStyle w:val="Hyperlink"/>
          </w:rPr>
          <w:t xml:space="preserve">10.1016/j.tree.2014.12.004</w:t>
        </w:r>
      </w:hyperlink>
      <w:r>
        <w:t xml:space="preserve">.</w:t>
      </w:r>
    </w:p>
    <w:bookmarkEnd w:id="122"/>
    <w:bookmarkStart w:id="124"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23">
        <w:r>
          <w:rPr>
            <w:rStyle w:val="Hyperlink"/>
          </w:rPr>
          <w:t xml:space="preserve">10.1139/facets-2023-0204</w:t>
        </w:r>
      </w:hyperlink>
      <w:r>
        <w:t xml:space="preserve">.</w:t>
      </w:r>
    </w:p>
    <w:bookmarkEnd w:id="124"/>
    <w:bookmarkStart w:id="126"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25">
        <w:r>
          <w:rPr>
            <w:rStyle w:val="Hyperlink"/>
          </w:rPr>
          <w:t xml:space="preserve">https://www.justice.gc.ca/eng/rp-pr/csj-sjc/legis-redact/legistics/p3p1.html</w:t>
        </w:r>
      </w:hyperlink>
      <w:r>
        <w:t xml:space="preserve"> </w:t>
      </w:r>
      <w:r>
        <w:t xml:space="preserve">[accessed 18 December 2025].</w:t>
      </w:r>
    </w:p>
    <w:bookmarkEnd w:id="126"/>
    <w:bookmarkStart w:id="128"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7">
        <w:r>
          <w:rPr>
            <w:rStyle w:val="Hyperlink"/>
          </w:rPr>
          <w:t xml:space="preserve">https://laws-lois.justice.gc.ca/PDF/tops/eng/TOPS.pdf</w:t>
        </w:r>
      </w:hyperlink>
      <w:r>
        <w:t xml:space="preserve"> </w:t>
      </w:r>
      <w:r>
        <w:t xml:space="preserve">[accessed 13 January 2026].</w:t>
      </w:r>
    </w:p>
    <w:bookmarkEnd w:id="128"/>
    <w:bookmarkStart w:id="130"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9">
        <w:r>
          <w:rPr>
            <w:rStyle w:val="Hyperlink"/>
          </w:rPr>
          <w:t xml:space="preserve">https://waves-vagues.dfo-mpo.gc.ca/library-bibliotheque/315577.pdf</w:t>
        </w:r>
      </w:hyperlink>
      <w:r>
        <w:t xml:space="preserve">.</w:t>
      </w:r>
    </w:p>
    <w:bookmarkEnd w:id="130"/>
    <w:bookmarkStart w:id="131"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31"/>
    <w:bookmarkStart w:id="133" w:name="ref-dfo2020"/>
    <w:p>
      <w:pPr>
        <w:pStyle w:val="Bibliography"/>
      </w:pPr>
      <w:r>
        <w:t xml:space="preserve">DFO.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 DFO Can. Sci. Advis. Sec. Sci. Advis. Rep. Available from</w:t>
      </w:r>
      <w:r>
        <w:t xml:space="preserve"> </w:t>
      </w:r>
      <w:hyperlink r:id="rId132">
        <w:r>
          <w:rPr>
            <w:rStyle w:val="Hyperlink"/>
          </w:rPr>
          <w:t xml:space="preserve">https://publications.gc.ca/collections/collection_2020/mpo-dfo/fs70-6/Fs70-6-2020-023-eng.pdf</w:t>
        </w:r>
      </w:hyperlink>
      <w:r>
        <w:t xml:space="preserve">.</w:t>
      </w:r>
    </w:p>
    <w:bookmarkEnd w:id="133"/>
    <w:bookmarkStart w:id="135"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34">
        <w:r>
          <w:rPr>
            <w:rStyle w:val="Hyperlink"/>
          </w:rPr>
          <w:t xml:space="preserve">https://waves-vagues.dfo-mpo.gc.ca/library-bibliotheque/41031209.pdf</w:t>
        </w:r>
      </w:hyperlink>
      <w:r>
        <w:t xml:space="preserve">.</w:t>
      </w:r>
    </w:p>
    <w:bookmarkEnd w:id="135"/>
    <w:bookmarkStart w:id="137"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36">
        <w:r>
          <w:rPr>
            <w:rStyle w:val="Hyperlink"/>
          </w:rPr>
          <w:t xml:space="preserve">https://www.dfo-mpo.gc.ca/fisheries-peches/ifmp-gmp/salmon-saumon/2024/okanagan-2024-eng.html</w:t>
        </w:r>
      </w:hyperlink>
      <w:r>
        <w:t xml:space="preserve">.</w:t>
      </w:r>
    </w:p>
    <w:bookmarkEnd w:id="137"/>
    <w:bookmarkStart w:id="139"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38">
        <w:r>
          <w:rPr>
            <w:rStyle w:val="Hyperlink"/>
          </w:rPr>
          <w:t xml:space="preserve">https://www.dfo-mpo.gc.ca/reports-rapports/regs/sff-cpd/precautionary-precaution-eng.htm</w:t>
        </w:r>
      </w:hyperlink>
      <w:r>
        <w:t xml:space="preserve">.</w:t>
      </w:r>
    </w:p>
    <w:bookmarkEnd w:id="139"/>
    <w:bookmarkStart w:id="141"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40">
        <w:r>
          <w:rPr>
            <w:rStyle w:val="Hyperlink"/>
          </w:rPr>
          <w:t xml:space="preserve">https://www.pac.dfo-mpo.gc.ca/fm-gp/salmon-saumon/docs/trilat-agreement-accord/declaration-eng.html</w:t>
        </w:r>
      </w:hyperlink>
      <w:r>
        <w:t xml:space="preserve">.</w:t>
      </w:r>
    </w:p>
    <w:bookmarkEnd w:id="141"/>
    <w:bookmarkStart w:id="142"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42"/>
    <w:bookmarkStart w:id="143"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43"/>
    <w:bookmarkStart w:id="144"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44"/>
    <w:bookmarkStart w:id="146"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45">
        <w:r>
          <w:rPr>
            <w:rStyle w:val="Hyperlink"/>
          </w:rPr>
          <w:t xml:space="preserve">https://www.bclaws.gov.bc.ca/civix/document/id/complete/statreg/02069_01</w:t>
        </w:r>
      </w:hyperlink>
      <w:r>
        <w:t xml:space="preserve">.</w:t>
      </w:r>
    </w:p>
    <w:bookmarkEnd w:id="146"/>
    <w:bookmarkStart w:id="148" w:name="ref-governmentofcanada2005"/>
    <w:p>
      <w:pPr>
        <w:pStyle w:val="Bibliography"/>
      </w:pPr>
      <w:r>
        <w:t xml:space="preserve">Government of Canada. 2005. Order</w:t>
      </w:r>
      <w:r>
        <w:t xml:space="preserve"> </w:t>
      </w:r>
      <w:r>
        <w:t xml:space="preserve">Giving Notice</w:t>
      </w:r>
      <w:r>
        <w:t xml:space="preserve"> </w:t>
      </w:r>
      <w:r>
        <w:t xml:space="preserve">of</w:t>
      </w:r>
      <w:r>
        <w:t xml:space="preserve"> </w:t>
      </w:r>
      <w:r>
        <w:t xml:space="preserve">Decisions</w:t>
      </w:r>
      <w:r>
        <w:t xml:space="preserve"> </w:t>
      </w:r>
      <w:r>
        <w:t xml:space="preserve">not to add</w:t>
      </w:r>
      <w:r>
        <w:t xml:space="preserve"> </w:t>
      </w:r>
      <w:r>
        <w:t xml:space="preserve">Certain</w:t>
      </w:r>
      <w:r>
        <w:t xml:space="preserve"> </w:t>
      </w:r>
      <w:r>
        <w:t xml:space="preserve">Species</w:t>
      </w:r>
      <w:r>
        <w:t xml:space="preserve"> </w:t>
      </w:r>
      <w:r>
        <w:t xml:space="preserve">to the</w:t>
      </w:r>
      <w:r>
        <w:t xml:space="preserve"> </w:t>
      </w:r>
      <w:r>
        <w:t xml:space="preserve">List</w:t>
      </w:r>
      <w:r>
        <w:t xml:space="preserve"> </w:t>
      </w:r>
      <w:r>
        <w:t xml:space="preserve">of</w:t>
      </w:r>
      <w:r>
        <w:t xml:space="preserve"> </w:t>
      </w:r>
      <w:r>
        <w:t xml:space="preserve">Endangered Species</w:t>
      </w:r>
      <w:r>
        <w:t xml:space="preserve">. Available from</w:t>
      </w:r>
      <w:r>
        <w:t xml:space="preserve"> </w:t>
      </w:r>
      <w:hyperlink r:id="rId147">
        <w:r>
          <w:rPr>
            <w:rStyle w:val="Hyperlink"/>
          </w:rPr>
          <w:t xml:space="preserve">https://laws-lois.justice.gc.ca/PDF/SI-2005-2.pdf</w:t>
        </w:r>
      </w:hyperlink>
      <w:r>
        <w:t xml:space="preserve">.</w:t>
      </w:r>
    </w:p>
    <w:bookmarkEnd w:id="148"/>
    <w:bookmarkStart w:id="150"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49">
        <w:r>
          <w:rPr>
            <w:rStyle w:val="Hyperlink"/>
          </w:rPr>
          <w:t xml:space="preserve">https://waves-vagues.dfo-mpo.gc.ca/library-bibliotheque/40807071.pdf</w:t>
        </w:r>
      </w:hyperlink>
      <w:r>
        <w:t xml:space="preserve">.</w:t>
      </w:r>
    </w:p>
    <w:bookmarkEnd w:id="150"/>
    <w:bookmarkStart w:id="15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51">
        <w:r>
          <w:rPr>
            <w:rStyle w:val="Hyperlink"/>
          </w:rPr>
          <w:t xml:space="preserve">10.1139/facets-2020-0084</w:t>
        </w:r>
      </w:hyperlink>
      <w:r>
        <w:t xml:space="preserve">.</w:t>
      </w:r>
    </w:p>
    <w:bookmarkEnd w:id="152"/>
    <w:bookmarkStart w:id="153"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53"/>
    <w:bookmarkStart w:id="154"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54"/>
    <w:bookmarkStart w:id="156" w:name="ref-mccleary2021"/>
    <w:p>
      <w:pPr>
        <w:pStyle w:val="Bibliography"/>
      </w:pPr>
      <w:r>
        <w:t xml:space="preserve">McCleary, R.J., and Thomson, D.A. 2021. Hydrogeology and</w:t>
      </w:r>
      <w:r>
        <w:t xml:space="preserve"> </w:t>
      </w:r>
      <w:r>
        <w:t xml:space="preserve">Environmental Flow Needs Assessment</w:t>
      </w:r>
      <w:r>
        <w:t xml:space="preserve"> </w:t>
      </w:r>
      <w:r>
        <w:t xml:space="preserve">of a</w:t>
      </w:r>
      <w:r>
        <w:t xml:space="preserve"> </w:t>
      </w:r>
      <w:r>
        <w:t xml:space="preserve">Groundwater Licence Application</w:t>
      </w:r>
      <w:r>
        <w:t xml:space="preserve"> </w:t>
      </w:r>
      <w:r>
        <w:t xml:space="preserve">near</w:t>
      </w:r>
      <w:r>
        <w:t xml:space="preserve"> </w:t>
      </w:r>
      <w:r>
        <w:t xml:space="preserve">Lumby</w:t>
      </w:r>
      <w:r>
        <w:t xml:space="preserve">,</w:t>
      </w:r>
      <w:r>
        <w:t xml:space="preserve"> </w:t>
      </w:r>
      <w:r>
        <w:t xml:space="preserve">B</w:t>
      </w:r>
      <w:r>
        <w:t xml:space="preserve">.</w:t>
      </w:r>
      <w:r>
        <w:t xml:space="preserve">C</w:t>
      </w:r>
      <w:r>
        <w:t xml:space="preserve">. Province of British Columbia, Victoria, BC. Available from</w:t>
      </w:r>
      <w:r>
        <w:t xml:space="preserve"> </w:t>
      </w:r>
      <w:hyperlink r:id="rId155">
        <w:r>
          <w:rPr>
            <w:rStyle w:val="Hyperlink"/>
          </w:rPr>
          <w:t xml:space="preserve">https://a100.gov.bc.ca/pub/acat/documents/r59109/BessetteCreekCaseStudy_1618261345167_93488C355C.pdf</w:t>
        </w:r>
      </w:hyperlink>
      <w:r>
        <w:t xml:space="preserve">.</w:t>
      </w:r>
    </w:p>
    <w:bookmarkEnd w:id="156"/>
    <w:bookmarkStart w:id="158"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57">
        <w:r>
          <w:rPr>
            <w:rStyle w:val="Hyperlink"/>
          </w:rPr>
          <w:t xml:space="preserve">10.1016/j.biocon.2013.07.006</w:t>
        </w:r>
      </w:hyperlink>
      <w:r>
        <w:t xml:space="preserve">.</w:t>
      </w:r>
    </w:p>
    <w:bookmarkEnd w:id="158"/>
    <w:bookmarkStart w:id="160"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59">
        <w:r>
          <w:rPr>
            <w:rStyle w:val="Hyperlink"/>
          </w:rPr>
          <w:t xml:space="preserve">https://publications.gc.ca/collections/collection_2021/parl/xc51-1/XC51-1-1-432-5-eng.pdf</w:t>
        </w:r>
      </w:hyperlink>
      <w:r>
        <w:t xml:space="preserve">.</w:t>
      </w:r>
    </w:p>
    <w:bookmarkEnd w:id="160"/>
    <w:bookmarkStart w:id="162"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61">
        <w:r>
          <w:rPr>
            <w:rStyle w:val="Hyperlink"/>
          </w:rPr>
          <w:t xml:space="preserve">https://laws-lois.justice.gc.ca/PDF/F-14.pdf</w:t>
        </w:r>
      </w:hyperlink>
      <w:r>
        <w:t xml:space="preserve">.</w:t>
      </w:r>
    </w:p>
    <w:bookmarkEnd w:id="162"/>
    <w:bookmarkStart w:id="164"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63">
        <w:r>
          <w:rPr>
            <w:rStyle w:val="Hyperlink"/>
          </w:rPr>
          <w:t xml:space="preserve">10.1111/faf.70027</w:t>
        </w:r>
      </w:hyperlink>
      <w:r>
        <w:t xml:space="preserve">.</w:t>
      </w:r>
    </w:p>
    <w:bookmarkEnd w:id="164"/>
    <w:bookmarkStart w:id="166"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65">
        <w:r>
          <w:rPr>
            <w:rStyle w:val="Hyperlink"/>
          </w:rPr>
          <w:t xml:space="preserve">10.1139/cjfas-2017-0127</w:t>
        </w:r>
      </w:hyperlink>
      <w:r>
        <w:t xml:space="preserve">.</w:t>
      </w:r>
    </w:p>
    <w:bookmarkEnd w:id="166"/>
    <w:bookmarkStart w:id="168"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67">
        <w:r>
          <w:rPr>
            <w:rStyle w:val="Hyperlink"/>
          </w:rPr>
          <w:t xml:space="preserve">https://www.bclaws.gov.bc.ca/civix/content/amr/amr/2067365574/?xsl=/templates/browse.xsl</w:t>
        </w:r>
      </w:hyperlink>
      <w:r>
        <w:t xml:space="preserve">.</w:t>
      </w:r>
    </w:p>
    <w:bookmarkEnd w:id="168"/>
    <w:bookmarkStart w:id="170"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69">
        <w:r>
          <w:rPr>
            <w:rStyle w:val="Hyperlink"/>
          </w:rPr>
          <w:t xml:space="preserve">https://publications.gc.ca/collections/collection_2018/mpo-dfo/fs70-6/Fs70-6-2018-042-eng.pdf</w:t>
        </w:r>
      </w:hyperlink>
      <w:r>
        <w:t xml:space="preserve">.</w:t>
      </w:r>
    </w:p>
    <w:bookmarkEnd w:id="170"/>
    <w:bookmarkStart w:id="172"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71">
        <w:r>
          <w:rPr>
            <w:rStyle w:val="Hyperlink"/>
          </w:rPr>
          <w:t xml:space="preserve">10.1139/facets-2020-0075</w:t>
        </w:r>
      </w:hyperlink>
      <w:r>
        <w:t xml:space="preserve">.</w:t>
      </w:r>
    </w:p>
    <w:bookmarkEnd w:id="172"/>
    <w:bookmarkStart w:id="174"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73">
        <w:r>
          <w:rPr>
            <w:rStyle w:val="Hyperlink"/>
          </w:rPr>
          <w:t xml:space="preserve">10.1111/cobi.14434</w:t>
        </w:r>
      </w:hyperlink>
      <w:r>
        <w:t xml:space="preserve">.</w:t>
      </w:r>
    </w:p>
    <w:bookmarkEnd w:id="174"/>
    <w:bookmarkStart w:id="176"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75">
        <w:r>
          <w:rPr>
            <w:rStyle w:val="Hyperlink"/>
          </w:rPr>
          <w:t xml:space="preserve">10.1111/j.1523-1739.2008.00937.x</w:t>
        </w:r>
      </w:hyperlink>
      <w:r>
        <w:t xml:space="preserve">.</w:t>
      </w:r>
    </w:p>
    <w:bookmarkEnd w:id="176"/>
    <w:bookmarkStart w:id="178"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77">
        <w:r>
          <w:rPr>
            <w:rStyle w:val="Hyperlink"/>
          </w:rPr>
          <w:t xml:space="preserve">10.1139/facets-2022-0095</w:t>
        </w:r>
      </w:hyperlink>
      <w:r>
        <w:t xml:space="preserve">.</w:t>
      </w:r>
    </w:p>
    <w:bookmarkEnd w:id="178"/>
    <w:bookmarkStart w:id="179"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79"/>
    <w:bookmarkStart w:id="181"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80">
        <w:r>
          <w:rPr>
            <w:rStyle w:val="Hyperlink"/>
          </w:rPr>
          <w:t xml:space="preserve">10.1139/facets-2020-0064</w:t>
        </w:r>
      </w:hyperlink>
      <w:r>
        <w:t xml:space="preserve">.</w:t>
      </w:r>
    </w:p>
    <w:bookmarkEnd w:id="181"/>
    <w:bookmarkStart w:id="183"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82">
        <w:r>
          <w:rPr>
            <w:rStyle w:val="Hyperlink"/>
          </w:rPr>
          <w:t xml:space="preserve">10.1139/facets-2024-0348</w:t>
        </w:r>
      </w:hyperlink>
      <w:r>
        <w:t xml:space="preserve">.</w:t>
      </w:r>
    </w:p>
    <w:bookmarkEnd w:id="183"/>
    <w:bookmarkStart w:id="185"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84">
        <w:r>
          <w:rPr>
            <w:rStyle w:val="Hyperlink"/>
          </w:rPr>
          <w:t xml:space="preserve">10.32614/CRAN.package.rvest</w:t>
        </w:r>
      </w:hyperlink>
      <w:r>
        <w:t xml:space="preserve">.</w:t>
      </w:r>
    </w:p>
    <w:bookmarkEnd w:id="185"/>
    <w:bookmarkStart w:id="187"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86">
        <w:r>
          <w:rPr>
            <w:rStyle w:val="Hyperlink"/>
          </w:rPr>
          <w:t xml:space="preserve">10.32614/CRAN.package.udpipe</w:t>
        </w:r>
      </w:hyperlink>
      <w:r>
        <w:t xml:space="preserve">.</w:t>
      </w:r>
    </w:p>
    <w:bookmarkEnd w:id="187"/>
    <w:bookmarkEnd w:id="188"/>
    <w:bookmarkEnd w:id="189"/>
    <w:bookmarkStart w:id="190" w:name="supplementary-material"/>
    <w:p>
      <w:pPr>
        <w:pStyle w:val="Heading1"/>
      </w:pPr>
      <w:r>
        <w:t xml:space="preserve">Supplementary material</w:t>
      </w:r>
    </w:p>
    <w:p>
      <w:pPr>
        <w:pStyle w:val="Compact"/>
        <w:numPr>
          <w:ilvl w:val="0"/>
          <w:numId w:val="1004"/>
        </w:numPr>
      </w:pPr>
      <w:r>
        <w:rPr>
          <w:b/>
          <w:bCs/>
        </w:rPr>
        <w:t xml:space="preserve">Links or downloads for the LAPSE tool materials (app etc.)</w:t>
      </w:r>
    </w:p>
    <w:bookmarkEnd w:id="190"/>
    <w:sectPr w:rsidR="008D44C7" w:rsidRPr="00C63FDA">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41CED"/>
    <w:rsid w:val="00053AC9"/>
    <w:rsid w:val="00230370"/>
    <w:rsid w:val="00247F8D"/>
    <w:rsid w:val="002774C0"/>
    <w:rsid w:val="00305C7B"/>
    <w:rsid w:val="003446D7"/>
    <w:rsid w:val="00410898"/>
    <w:rsid w:val="004673A8"/>
    <w:rsid w:val="0048758A"/>
    <w:rsid w:val="004C64ED"/>
    <w:rsid w:val="00514D89"/>
    <w:rsid w:val="005406A2"/>
    <w:rsid w:val="00564D74"/>
    <w:rsid w:val="005A39EF"/>
    <w:rsid w:val="00660A29"/>
    <w:rsid w:val="006B0E11"/>
    <w:rsid w:val="006E2BD1"/>
    <w:rsid w:val="0072119B"/>
    <w:rsid w:val="00777336"/>
    <w:rsid w:val="00790FE5"/>
    <w:rsid w:val="007B63FD"/>
    <w:rsid w:val="007E4A71"/>
    <w:rsid w:val="007F1C34"/>
    <w:rsid w:val="008028D8"/>
    <w:rsid w:val="00816055"/>
    <w:rsid w:val="008D44C7"/>
    <w:rsid w:val="00902CF8"/>
    <w:rsid w:val="0096600F"/>
    <w:rsid w:val="009812E8"/>
    <w:rsid w:val="009946D0"/>
    <w:rsid w:val="009A55D7"/>
    <w:rsid w:val="009B05B7"/>
    <w:rsid w:val="00A96D17"/>
    <w:rsid w:val="00AE35B0"/>
    <w:rsid w:val="00B8296B"/>
    <w:rsid w:val="00B87D0F"/>
    <w:rsid w:val="00B95B90"/>
    <w:rsid w:val="00BD3862"/>
    <w:rsid w:val="00BD6F10"/>
    <w:rsid w:val="00C63FDA"/>
    <w:rsid w:val="00C861B2"/>
    <w:rsid w:val="00D40977"/>
    <w:rsid w:val="00D812E9"/>
    <w:rsid w:val="00DA0A6F"/>
    <w:rsid w:val="00E81945"/>
    <w:rsid w:val="00EA546A"/>
    <w:rsid w:val="00EB7C11"/>
    <w:rsid w:val="00F95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902CF8"/>
    <w:pPr>
      <w:ind w:left="720" w:right="720"/>
    </w:pPr>
    <w:rPr>
      <w:i/>
      <w:iCs/>
      <w:color w:themeColor="text1" w:themeTint="BF" w:val="404040"/>
      <w:sz w:val="22"/>
    </w:rPr>
  </w:style>
  <w:style w:customStyle="1" w:styleId="QuoteChar" w:type="character">
    <w:name w:val="Quote Char"/>
    <w:basedOn w:val="DefaultParagraphFont"/>
    <w:link w:val="Quote"/>
    <w:uiPriority w:val="29"/>
    <w:rsid w:val="00902CF8"/>
    <w:rPr>
      <w:rFonts w:ascii="Times New Roman" w:hAnsi="Times New Roman"/>
      <w:i/>
      <w:iCs/>
      <w:color w:themeColor="text1" w:themeTint="BF" w:val="404040"/>
      <w:sz w:val="22"/>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customStyle="1" w:styleId="BlockText1" w:type="paragraph">
    <w:name w:val="Block Text1"/>
    <w:basedOn w:val="Heading1"/>
    <w:rsid w:val="00410898"/>
    <w:pPr>
      <w:spacing w:after="160" w:before="0"/>
      <w:ind w:left="720" w:right="720"/>
    </w:pPr>
    <w:rPr>
      <w:rFonts w:ascii="Times New Roman" w:hAnsi="Times New Roman"/>
      <w:b w:val="0"/>
      <w:i/>
      <w:sz w:val="22"/>
    </w:rPr>
  </w:style>
  <w:style w:customStyle="1" w:styleId="ImageCaption" w:type="paragraph">
    <w:name w:val="Image Caption"/>
    <w:basedOn w:val="Normal"/>
    <w:qFormat/>
    <w:rsid w:val="00C63FDA"/>
    <w:pPr>
      <w:keepNext/>
      <w:keepLines/>
      <w:ind w:right="720"/>
    </w:pPr>
    <w:rPr>
      <w:rFonts w:cstheme="majorBidi" w:eastAsiaTheme="majorEastAsia"/>
      <w:i/>
      <w:sz w:val="22"/>
      <w:szCs w:val="40"/>
    </w:rPr>
  </w:style>
  <w:style w:customStyle="1" w:styleId="TableCaption" w:type="paragraph">
    <w:name w:val="Table Caption"/>
    <w:basedOn w:val="ImageCaption"/>
    <w:qFormat/>
    <w:rsid w:val="00C63FDA"/>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5" Target="media/rId25.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88" Target="media/rId88.png" /><Relationship Type="http://schemas.openxmlformats.org/officeDocument/2006/relationships/image" Id="rId79" Target="media/rId79.png" /><Relationship Type="http://schemas.openxmlformats.org/officeDocument/2006/relationships/image" Id="rId60" Target="media/rId60.png" /><Relationship Type="http://schemas.openxmlformats.org/officeDocument/2006/relationships/hyperlink" Id="rId155" Target="https://a100.gov.bc.ca/pub/acat/documents/r59109/BessetteCreekCaseStudy_1618261345167_93488C355C.pdf" TargetMode="External" /><Relationship Type="http://schemas.openxmlformats.org/officeDocument/2006/relationships/hyperlink" Id="rId119" Target="https://cosewic.ca/index.php/en/reports/preparing-status-reports/guidelines-recognizing-designatable-units.html" TargetMode="External" /><Relationship Type="http://schemas.openxmlformats.org/officeDocument/2006/relationships/hyperlink" Id="rId157" Target="https://doi.org/10.1016/j.biocon.2013.07.006" TargetMode="External" /><Relationship Type="http://schemas.openxmlformats.org/officeDocument/2006/relationships/hyperlink" Id="rId121" Target="https://doi.org/10.1016/j.tree.2014.12.004" TargetMode="External" /><Relationship Type="http://schemas.openxmlformats.org/officeDocument/2006/relationships/hyperlink" Id="rId101" Target="https://doi.org/10.1101/2024.12.01.626233" TargetMode="External" /><Relationship Type="http://schemas.openxmlformats.org/officeDocument/2006/relationships/hyperlink" Id="rId114" Target="https://doi.org/10.1111/1365-2664.14239" TargetMode="External" /><Relationship Type="http://schemas.openxmlformats.org/officeDocument/2006/relationships/hyperlink" Id="rId173" Target="https://doi.org/10.1111/cobi.14434" TargetMode="External" /><Relationship Type="http://schemas.openxmlformats.org/officeDocument/2006/relationships/hyperlink" Id="rId163" Target="https://doi.org/10.1111/faf.70027" TargetMode="External" /><Relationship Type="http://schemas.openxmlformats.org/officeDocument/2006/relationships/hyperlink" Id="rId175" Target="https://doi.org/10.1111/j.1523-1739.2008.00937.x" TargetMode="External" /><Relationship Type="http://schemas.openxmlformats.org/officeDocument/2006/relationships/hyperlink" Id="rId165" Target="https://doi.org/10.1139/cjfas-2017-0127" TargetMode="External" /><Relationship Type="http://schemas.openxmlformats.org/officeDocument/2006/relationships/hyperlink" Id="rId180" Target="https://doi.org/10.1139/facets-2020-0064" TargetMode="External" /><Relationship Type="http://schemas.openxmlformats.org/officeDocument/2006/relationships/hyperlink" Id="rId171" Target="https://doi.org/10.1139/facets-2020-0075" TargetMode="External" /><Relationship Type="http://schemas.openxmlformats.org/officeDocument/2006/relationships/hyperlink" Id="rId151" Target="https://doi.org/10.1139/facets-2020-0084" TargetMode="External" /><Relationship Type="http://schemas.openxmlformats.org/officeDocument/2006/relationships/hyperlink" Id="rId177" Target="https://doi.org/10.1139/facets-2022-0095" TargetMode="External" /><Relationship Type="http://schemas.openxmlformats.org/officeDocument/2006/relationships/hyperlink" Id="rId123" Target="https://doi.org/10.1139/facets-2023-0204" TargetMode="External" /><Relationship Type="http://schemas.openxmlformats.org/officeDocument/2006/relationships/hyperlink" Id="rId182" Target="https://doi.org/10.1139/facets-2024-0348" TargetMode="External" /><Relationship Type="http://schemas.openxmlformats.org/officeDocument/2006/relationships/hyperlink" Id="rId108" Target="https://doi.org/10.1139/facets-2025-0031" TargetMode="External" /><Relationship Type="http://schemas.openxmlformats.org/officeDocument/2006/relationships/hyperlink" Id="rId110" Target="https://doi.org/10.3233/EPL-2002-32_5_13" TargetMode="External" /><Relationship Type="http://schemas.openxmlformats.org/officeDocument/2006/relationships/hyperlink" Id="rId184" Target="https://doi.org/10.32614/CRAN.package.rvest" TargetMode="External" /><Relationship Type="http://schemas.openxmlformats.org/officeDocument/2006/relationships/hyperlink" Id="rId186" Target="https://doi.org/10.32614/CRAN.package.udpipe" TargetMode="External" /><Relationship Type="http://schemas.openxmlformats.org/officeDocument/2006/relationships/hyperlink" Id="rId103" Target="https://doi.org/10.3390/su6096024" TargetMode="External" /><Relationship Type="http://schemas.openxmlformats.org/officeDocument/2006/relationships/hyperlink" Id="rId106" Target="https://doi.org/10.5751/ES-02784-140145" TargetMode="External" /><Relationship Type="http://schemas.openxmlformats.org/officeDocument/2006/relationships/hyperlink" Id="rId161" Target="https://laws-lois.justice.gc.ca/PDF/F-14.pdf" TargetMode="External" /><Relationship Type="http://schemas.openxmlformats.org/officeDocument/2006/relationships/hyperlink" Id="rId147" Target="https://laws-lois.justice.gc.ca/PDF/SI-2005-2.pdf" TargetMode="External" /><Relationship Type="http://schemas.openxmlformats.org/officeDocument/2006/relationships/hyperlink" Id="rId127" Target="https://laws-lois.justice.gc.ca/PDF/tops/eng/TOPS.pdf" TargetMode="External" /><Relationship Type="http://schemas.openxmlformats.org/officeDocument/2006/relationships/hyperlink" Id="rId116" Target="https://publications.gc.ca/collections/collection_2012/bcp-pco/CP32-93-2012-3-eng.pdf" TargetMode="External" /><Relationship Type="http://schemas.openxmlformats.org/officeDocument/2006/relationships/hyperlink" Id="rId169" Target="https://publications.gc.ca/collections/collection_2018/mpo-dfo/fs70-6/Fs70-6-2018-042-eng.pdf" TargetMode="External" /><Relationship Type="http://schemas.openxmlformats.org/officeDocument/2006/relationships/hyperlink" Id="rId132" Target="https://publications.gc.ca/collections/collection_2020/mpo-dfo/fs70-6/Fs70-6-2020-023-eng.pdf" TargetMode="External" /><Relationship Type="http://schemas.openxmlformats.org/officeDocument/2006/relationships/hyperlink" Id="rId159" Target="https://publications.gc.ca/collections/collection_2021/parl/xc51-1/XC51-1-1-432-5-eng.pdf" TargetMode="External" /><Relationship Type="http://schemas.openxmlformats.org/officeDocument/2006/relationships/hyperlink" Id="rId129" Target="https://waves-vagues.dfo-mpo.gc.ca/library-bibliotheque/315577.pdf" TargetMode="External" /><Relationship Type="http://schemas.openxmlformats.org/officeDocument/2006/relationships/hyperlink" Id="rId149" Target="https://waves-vagues.dfo-mpo.gc.ca/library-bibliotheque/40807071.pdf" TargetMode="External" /><Relationship Type="http://schemas.openxmlformats.org/officeDocument/2006/relationships/hyperlink" Id="rId134" Target="https://waves-vagues.dfo-mpo.gc.ca/library-bibliotheque/41031209.pdf" TargetMode="External" /><Relationship Type="http://schemas.openxmlformats.org/officeDocument/2006/relationships/hyperlink" Id="rId167" Target="https://www.bclaws.gov.bc.ca/civix/content/amr/amr/2067365574/?xsl=/templates/browse.xsl" TargetMode="External" /><Relationship Type="http://schemas.openxmlformats.org/officeDocument/2006/relationships/hyperlink" Id="rId145" Target="https://www.bclaws.gov.bc.ca/civix/document/id/complete/statreg/02069_01" TargetMode="External" /><Relationship Type="http://schemas.openxmlformats.org/officeDocument/2006/relationships/hyperlink" Id="rId112" Target="https://www.canlii.org/" TargetMode="External" /><Relationship Type="http://schemas.openxmlformats.org/officeDocument/2006/relationships/hyperlink" Id="rId136" Target="https://www.dfo-mpo.gc.ca/fisheries-peches/ifmp-gmp/salmon-saumon/2024/okanagan-2024-eng.html" TargetMode="External" /><Relationship Type="http://schemas.openxmlformats.org/officeDocument/2006/relationships/hyperlink" Id="rId138" Target="https://www.dfo-mpo.gc.ca/reports-rapports/regs/sff-cpd/precautionary-precaution-eng.htm" TargetMode="External" /><Relationship Type="http://schemas.openxmlformats.org/officeDocument/2006/relationships/hyperlink" Id="rId125" Target="https://www.justice.gc.ca/eng/rp-pr/csj-sjc/legis-redact/legistics/p3p1.html" TargetMode="External" /><Relationship Type="http://schemas.openxmlformats.org/officeDocument/2006/relationships/hyperlink" Id="rId140"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155" Target="https://a100.gov.bc.ca/pub/acat/documents/r59109/BessetteCreekCaseStudy_1618261345167_93488C355C.pdf" TargetMode="External" /><Relationship Type="http://schemas.openxmlformats.org/officeDocument/2006/relationships/hyperlink" Id="rId119" Target="https://cosewic.ca/index.php/en/reports/preparing-status-reports/guidelines-recognizing-designatable-units.html" TargetMode="External" /><Relationship Type="http://schemas.openxmlformats.org/officeDocument/2006/relationships/hyperlink" Id="rId157" Target="https://doi.org/10.1016/j.biocon.2013.07.006" TargetMode="External" /><Relationship Type="http://schemas.openxmlformats.org/officeDocument/2006/relationships/hyperlink" Id="rId121" Target="https://doi.org/10.1016/j.tree.2014.12.004" TargetMode="External" /><Relationship Type="http://schemas.openxmlformats.org/officeDocument/2006/relationships/hyperlink" Id="rId101" Target="https://doi.org/10.1101/2024.12.01.626233" TargetMode="External" /><Relationship Type="http://schemas.openxmlformats.org/officeDocument/2006/relationships/hyperlink" Id="rId114" Target="https://doi.org/10.1111/1365-2664.14239" TargetMode="External" /><Relationship Type="http://schemas.openxmlformats.org/officeDocument/2006/relationships/hyperlink" Id="rId173" Target="https://doi.org/10.1111/cobi.14434" TargetMode="External" /><Relationship Type="http://schemas.openxmlformats.org/officeDocument/2006/relationships/hyperlink" Id="rId163" Target="https://doi.org/10.1111/faf.70027" TargetMode="External" /><Relationship Type="http://schemas.openxmlformats.org/officeDocument/2006/relationships/hyperlink" Id="rId175" Target="https://doi.org/10.1111/j.1523-1739.2008.00937.x" TargetMode="External" /><Relationship Type="http://schemas.openxmlformats.org/officeDocument/2006/relationships/hyperlink" Id="rId165" Target="https://doi.org/10.1139/cjfas-2017-0127" TargetMode="External" /><Relationship Type="http://schemas.openxmlformats.org/officeDocument/2006/relationships/hyperlink" Id="rId180" Target="https://doi.org/10.1139/facets-2020-0064" TargetMode="External" /><Relationship Type="http://schemas.openxmlformats.org/officeDocument/2006/relationships/hyperlink" Id="rId171" Target="https://doi.org/10.1139/facets-2020-0075" TargetMode="External" /><Relationship Type="http://schemas.openxmlformats.org/officeDocument/2006/relationships/hyperlink" Id="rId151" Target="https://doi.org/10.1139/facets-2020-0084" TargetMode="External" /><Relationship Type="http://schemas.openxmlformats.org/officeDocument/2006/relationships/hyperlink" Id="rId177" Target="https://doi.org/10.1139/facets-2022-0095" TargetMode="External" /><Relationship Type="http://schemas.openxmlformats.org/officeDocument/2006/relationships/hyperlink" Id="rId123" Target="https://doi.org/10.1139/facets-2023-0204" TargetMode="External" /><Relationship Type="http://schemas.openxmlformats.org/officeDocument/2006/relationships/hyperlink" Id="rId182" Target="https://doi.org/10.1139/facets-2024-0348" TargetMode="External" /><Relationship Type="http://schemas.openxmlformats.org/officeDocument/2006/relationships/hyperlink" Id="rId108" Target="https://doi.org/10.1139/facets-2025-0031" TargetMode="External" /><Relationship Type="http://schemas.openxmlformats.org/officeDocument/2006/relationships/hyperlink" Id="rId110" Target="https://doi.org/10.3233/EPL-2002-32_5_13" TargetMode="External" /><Relationship Type="http://schemas.openxmlformats.org/officeDocument/2006/relationships/hyperlink" Id="rId184" Target="https://doi.org/10.32614/CRAN.package.rvest" TargetMode="External" /><Relationship Type="http://schemas.openxmlformats.org/officeDocument/2006/relationships/hyperlink" Id="rId186" Target="https://doi.org/10.32614/CRAN.package.udpipe" TargetMode="External" /><Relationship Type="http://schemas.openxmlformats.org/officeDocument/2006/relationships/hyperlink" Id="rId103" Target="https://doi.org/10.3390/su6096024" TargetMode="External" /><Relationship Type="http://schemas.openxmlformats.org/officeDocument/2006/relationships/hyperlink" Id="rId106" Target="https://doi.org/10.5751/ES-02784-140145" TargetMode="External" /><Relationship Type="http://schemas.openxmlformats.org/officeDocument/2006/relationships/hyperlink" Id="rId161" Target="https://laws-lois.justice.gc.ca/PDF/F-14.pdf" TargetMode="External" /><Relationship Type="http://schemas.openxmlformats.org/officeDocument/2006/relationships/hyperlink" Id="rId147" Target="https://laws-lois.justice.gc.ca/PDF/SI-2005-2.pdf" TargetMode="External" /><Relationship Type="http://schemas.openxmlformats.org/officeDocument/2006/relationships/hyperlink" Id="rId127" Target="https://laws-lois.justice.gc.ca/PDF/tops/eng/TOPS.pdf" TargetMode="External" /><Relationship Type="http://schemas.openxmlformats.org/officeDocument/2006/relationships/hyperlink" Id="rId116" Target="https://publications.gc.ca/collections/collection_2012/bcp-pco/CP32-93-2012-3-eng.pdf" TargetMode="External" /><Relationship Type="http://schemas.openxmlformats.org/officeDocument/2006/relationships/hyperlink" Id="rId169" Target="https://publications.gc.ca/collections/collection_2018/mpo-dfo/fs70-6/Fs70-6-2018-042-eng.pdf" TargetMode="External" /><Relationship Type="http://schemas.openxmlformats.org/officeDocument/2006/relationships/hyperlink" Id="rId132" Target="https://publications.gc.ca/collections/collection_2020/mpo-dfo/fs70-6/Fs70-6-2020-023-eng.pdf" TargetMode="External" /><Relationship Type="http://schemas.openxmlformats.org/officeDocument/2006/relationships/hyperlink" Id="rId159" Target="https://publications.gc.ca/collections/collection_2021/parl/xc51-1/XC51-1-1-432-5-eng.pdf" TargetMode="External" /><Relationship Type="http://schemas.openxmlformats.org/officeDocument/2006/relationships/hyperlink" Id="rId129" Target="https://waves-vagues.dfo-mpo.gc.ca/library-bibliotheque/315577.pdf" TargetMode="External" /><Relationship Type="http://schemas.openxmlformats.org/officeDocument/2006/relationships/hyperlink" Id="rId149" Target="https://waves-vagues.dfo-mpo.gc.ca/library-bibliotheque/40807071.pdf" TargetMode="External" /><Relationship Type="http://schemas.openxmlformats.org/officeDocument/2006/relationships/hyperlink" Id="rId134" Target="https://waves-vagues.dfo-mpo.gc.ca/library-bibliotheque/41031209.pdf" TargetMode="External" /><Relationship Type="http://schemas.openxmlformats.org/officeDocument/2006/relationships/hyperlink" Id="rId167" Target="https://www.bclaws.gov.bc.ca/civix/content/amr/amr/2067365574/?xsl=/templates/browse.xsl" TargetMode="External" /><Relationship Type="http://schemas.openxmlformats.org/officeDocument/2006/relationships/hyperlink" Id="rId145" Target="https://www.bclaws.gov.bc.ca/civix/document/id/complete/statreg/02069_01" TargetMode="External" /><Relationship Type="http://schemas.openxmlformats.org/officeDocument/2006/relationships/hyperlink" Id="rId112" Target="https://www.canlii.org/" TargetMode="External" /><Relationship Type="http://schemas.openxmlformats.org/officeDocument/2006/relationships/hyperlink" Id="rId136" Target="https://www.dfo-mpo.gc.ca/fisheries-peches/ifmp-gmp/salmon-saumon/2024/okanagan-2024-eng.html" TargetMode="External" /><Relationship Type="http://schemas.openxmlformats.org/officeDocument/2006/relationships/hyperlink" Id="rId138" Target="https://www.dfo-mpo.gc.ca/reports-rapports/regs/sff-cpd/precautionary-precaution-eng.htm" TargetMode="External" /><Relationship Type="http://schemas.openxmlformats.org/officeDocument/2006/relationships/hyperlink" Id="rId125" Target="https://www.justice.gc.ca/eng/rp-pr/csj-sjc/legis-redact/legistics/p3p1.html" TargetMode="External" /><Relationship Type="http://schemas.openxmlformats.org/officeDocument/2006/relationships/hyperlink" Id="rId140"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2026-02-11T17:42:27Z</dcterms:created>
  <dcterms:modified xsi:type="dcterms:W3CDTF">2026-02-11T17:42:27Z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2026-02-11</vt:lpwstr>
  </property>
  <property fmtid="{D5CDD505-2E9C-101B-9397-08002B2CF9AE}" pid="5" name="language">
    <vt:lpwstr/>
  </property>
  <property fmtid="{D5CDD505-2E9C-101B-9397-08002B2CF9AE}" pid="6" name="output">
    <vt:lpwstr/>
  </property>
</Properties>
</file>