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0.png" ContentType="image/png"/>
  <Override PartName="/word/media/rId24.png" ContentType="image/png"/>
  <Override PartName="/word/media/rId73.png" ContentType="image/png"/>
  <Override PartName="/word/media/rId78.png" ContentType="image/png"/>
  <Override PartName="/word/media/rId84.png" ContentType="image/png"/>
  <Override PartName="/word/media/rId30.png" ContentType="image/png"/>
  <Override PartName="/word/media/rId34.png" ContentType="image/png"/>
  <Override PartName="/word/media/rId53.png" ContentType="image/png"/>
  <Override PartName="/word/media/rId58.png" ContentType="image/png"/>
  <Override PartName="/word/media/rId4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
    <w:p>
      <w:pPr>
        <w:pStyle w:val="Heading1"/>
      </w:pPr>
      <w:r>
        <w:t xml:space="preserve">Introduction</w:t>
      </w:r>
    </w:p>
    <w:bookmarkStart w:id="20"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0"/>
    <w:bookmarkStart w:id="21"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DFO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(DFO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 prescribe how, when, and where fisheries harvest may occur within Canadian waters with less of the jurisdictional ambiguity. Fisheries also result in a quantifiable mortality of salmon, therefore, impacts and targets can be more accurately measured and managed (assuming adequate monitoring information is collected), and can adjust to changing abundances. This ability to cut fisheries harvest in-season, while the other aspects that impact salmon population productivity and habitat capacity remain and continue to compound, creates a situation where harvest cutbacks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inter-jurisdictional and inter-departmental approach to evaluate and address. Freshwater habitat, including water quantity (discharge and timing) and water quality (temperature, chemistry, and pollution), are impacted by actions and conditions throughout the entire watershed. Impacts from activities are often indirect, requiring monitoring and long-term studies to identify with confidence</w:t>
      </w:r>
      <w:r>
        <w:t xml:space="preserve"> </w:t>
      </w:r>
      <w:r>
        <w:t xml:space="preserve">(Ulaski et al. 2025)</w:t>
      </w:r>
      <w:r>
        <w:t xml:space="preserve">. Local activities, such as forestry, agriculture, and urbanization, act cumulatively and compound with climate changes to degrade salmon watersheds</w:t>
      </w:r>
      <w:r>
        <w:t xml:space="preserve"> </w:t>
      </w:r>
      <w:r>
        <w:t xml:space="preserve">(Moore et al. 2025)</w:t>
      </w:r>
      <w:r>
        <w:t xml:space="preserve"> </w:t>
      </w:r>
      <w:r>
        <w:t xml:space="preserve">such that the regulation of threats to salmon freshwater habitat in British Columbia requires the application of multiple acts and regulations across both federal and provincial jurisdiction, where the impacts from activities and the benefits of mitigation are uncertain and spread out over time and space. For example, terms specific to pollution (effluent, wastewater, deleterious substances, etc.) occur in 18 Canadian federal acts and 22 British Columbian provincial acts, where the implementation of these acts are the responsibility of eight Canadian federal ministries and nine British Columbian provincial ministries</w:t>
      </w:r>
      <w:r>
        <w:t xml:space="preserve"> </w:t>
      </w:r>
      <w:r>
        <w:t xml:space="preserve">(Province of British Columbia 2025; Department of Justice Canada 2026)</w:t>
      </w:r>
      <w:r>
        <w:t xml:space="preserve">.</w:t>
      </w:r>
    </w:p>
    <w:p>
      <w:pPr>
        <w:pStyle w:val="Compact"/>
        <w:numPr>
          <w:ilvl w:val="0"/>
          <w:numId w:val="1002"/>
        </w:numPr>
      </w:pPr>
      <w:r>
        <w:rPr>
          <w:b/>
          <w:bCs/>
        </w:rPr>
        <w:t xml:space="preserve">Marina - I revised the paragraph to hopefully summarize what you’d suggested in your comment. My original paragraph was vague and unfinished. We don’t really mention specific gov’t branches and structures since they can change arbitrarily. Hopefully, this still covers what you were recommending.</w:t>
      </w:r>
    </w:p>
    <w:p>
      <w:pPr>
        <w:pStyle w:val="FirstParagraph"/>
      </w:pPr>
      <w:r>
        <w:t xml:space="preserve">Assessment frameworks have been developed amidst this uncertainty and complexity to evaluate anthropogenic activities and limiting factors for the survival and recovery of Pacific salmon populations</w:t>
      </w:r>
      <w:r>
        <w:t xml:space="preserve"> </w:t>
      </w:r>
      <w:r>
        <w:t xml:space="preserve">(Salafsky et al. 2008; DFO 2021; Chalifour et al. 2022)</w:t>
      </w:r>
      <w:r>
        <w:t xml:space="preserve">. These frameworks are varied in their approaches, but aim to be comprehensive in assessing the wide range of concerns that may impact salmon across their life cycle to inform status assessments, recovery planning, and conservation strategies. One widely used risk assessment framework for Pacific salmon is the</w:t>
      </w:r>
      <w:r>
        <w:t xml:space="preserve"> </w:t>
      </w:r>
      <w:r>
        <w:rPr>
          <w:i/>
          <w:iCs/>
        </w:rPr>
        <w:t xml:space="preserve">International Union for Conservation of Nature</w:t>
      </w:r>
      <w:r>
        <w:t xml:space="preserve"> </w:t>
      </w:r>
      <w:r>
        <w:t xml:space="preserve">(IUCN)</w:t>
      </w:r>
      <w:r>
        <w:t xml:space="preserve"> </w:t>
      </w:r>
      <w:r>
        <w:rPr>
          <w:i/>
          <w:iCs/>
        </w:rPr>
        <w:t xml:space="preserve">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Committee on the Status of Endangered Wildlife in Canada (COSEWIC</w:t>
      </w:r>
      <w:r>
        <w:rPr>
          <w:b/>
          <w:bCs/>
        </w:rPr>
        <w:t xml:space="preserve">)</w:t>
      </w:r>
      <w:r>
        <w:t xml:space="preserve"> </w:t>
      </w:r>
      <w:r>
        <w:t xml:space="preserve">status assessments</w:t>
      </w:r>
      <w:r>
        <w:t xml:space="preserve"> </w:t>
      </w:r>
      <w:r>
        <w:t xml:space="preserve">(Arbeider et al. 2020; Dionne 2023; Doutaz et al. 2023)</w:t>
      </w:r>
      <w:r>
        <w:t xml:space="preserve">.</w:t>
      </w:r>
    </w:p>
    <w:p>
      <w:pPr>
        <w:pStyle w:val="BodyText"/>
      </w:pPr>
      <w:r>
        <w:t xml:space="preserve">Rebuilding plans have been developed under the</w:t>
      </w:r>
      <w:r>
        <w:t xml:space="preserve"> </w:t>
      </w:r>
      <w:r>
        <w:rPr>
          <w:i/>
          <w:iCs/>
        </w:rPr>
        <w:t xml:space="preserve">Fisheries Act</w:t>
      </w:r>
      <w:r>
        <w:t xml:space="preserve"> </w:t>
      </w:r>
      <w:r>
        <w:t xml:space="preserve">Fish Stock Provisions</w:t>
      </w:r>
      <w:r>
        <w:t xml:space="preserve"> </w:t>
      </w:r>
      <w:r>
        <w:t xml:space="preserve">(DFO 2022a)</w:t>
      </w:r>
      <w:r>
        <w:t xml:space="preserve"> </w:t>
      </w:r>
      <w:r>
        <w:t xml:space="preserve">for a small number of Pacific salmon populations including Okanagan Chinook</w:t>
      </w:r>
      <w:r>
        <w:t xml:space="preserve"> </w:t>
      </w:r>
      <w:r>
        <w:t xml:space="preserve">(DFO 2022b)</w:t>
      </w:r>
      <w:r>
        <w:t xml:space="preserve"> </w:t>
      </w:r>
      <w:r>
        <w:t xml:space="preserve">and West Coast Vancouver Island Chinook</w:t>
      </w:r>
      <w:r>
        <w:t xml:space="preserve"> </w:t>
      </w:r>
      <w:r>
        <w:t xml:space="preserve">(DFO 2025)</w:t>
      </w:r>
      <w:r>
        <w:t xml:space="preserve">. Risk assessments are intended to guide the development of rebuilding plans and mitigation actions with the ultimate aim of reversing declines and improving conservation status, assuming there is agreement upon the most important threats. A key challenge is identifying actions that are impactful and feasible across the wide geographic range and diverse life history of Pacific salmon. In many cases, dispersed authority, regulatory complexities, ambiguous responsibilities, ill-defined standards of management, and unclear conservation objectives across jurisdictions become barriers to effective and timely action.</w:t>
      </w:r>
    </w:p>
    <w:bookmarkEnd w:id="21"/>
    <w:bookmarkStart w:id="22"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including the</w:t>
      </w:r>
      <w:r>
        <w:t xml:space="preserve"> </w:t>
      </w:r>
      <w:r>
        <w:rPr>
          <w:i/>
          <w:iCs/>
        </w:rPr>
        <w:t xml:space="preserve">Wild Salmon Policy</w:t>
      </w:r>
      <w:r>
        <w:t xml:space="preserve"> </w:t>
      </w:r>
      <w:r>
        <w:t xml:space="preserve">(DFO 2005)</w:t>
      </w:r>
      <w:r>
        <w:t xml:space="preserve"> </w:t>
      </w:r>
      <w:r>
        <w:t xml:space="preserve">and the</w:t>
      </w:r>
      <w:r>
        <w:t xml:space="preserve"> </w:t>
      </w:r>
      <w:r>
        <w:rPr>
          <w:i/>
          <w:iCs/>
        </w:rPr>
        <w:t xml:space="preserve">Trilateral declaration on the urgent need to address wild Pacific salmon populations in British Columbia</w:t>
      </w:r>
      <w:r>
        <w:t xml:space="preserve"> </w:t>
      </w:r>
      <w:r>
        <w:t xml:space="preserve">(DFO 2024)</w:t>
      </w:r>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 In this study, we seek to decode the complexity between threats to salmon and corresponding environmental legislation by creating an interface between regulatory language and anthropogenic threat categories.</w:t>
      </w:r>
    </w:p>
    <w:p>
      <w:pPr>
        <w:pStyle w:val="BodyText"/>
      </w:pPr>
      <w:r>
        <w:t xml:space="preserve">Laws formally codify societal values and expectations</w:t>
      </w:r>
      <w:r>
        <w:t xml:space="preserve"> </w:t>
      </w:r>
      <w:r>
        <w:t xml:space="preserve">(Swerdfager and Olive 2023)</w:t>
      </w:r>
      <w:r>
        <w:t xml:space="preserve"> </w:t>
      </w:r>
      <w:r>
        <w:t xml:space="preserve">by governing human activity. Salmon population management administered through legislative authority, therefore, relies on a tertiary system where laws control human activity, which impacts the quantity and quality of salmon habitat, which affects the capacity of the habitat to produce salmon. Because this system of control pivots around human activity, we focused this study and tools around human activity as well, employing the hierarchical categorization structure developed by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However, not all aspects of salmon management are specific to threats from human activity. Topics such as species status, spatial designation (parks), and overall governance administration may not connect to a direct human threat, or may encompass all the threats. In order to capture all these threat and non-threat related categories in our legislation-salmonscape interface, we created a</w:t>
      </w:r>
      <w:r>
        <w:t xml:space="preserve"> </w:t>
      </w:r>
      <w:r>
        <w:t xml:space="preserve">“</w:t>
      </w:r>
      <w:r>
        <w:t xml:space="preserve">management domain</w:t>
      </w:r>
      <w:r>
        <w:t xml:space="preserve">”</w:t>
      </w:r>
      <w:r>
        <w:t xml:space="preserve"> </w:t>
      </w:r>
      <w:r>
        <w:t xml:space="preserve">schema that we define as</w:t>
      </w:r>
      <w:r>
        <w:t xml:space="preserve"> </w:t>
      </w:r>
      <w:r>
        <w:t xml:space="preserve">“</w:t>
      </w:r>
      <w:r>
        <w:t xml:space="preserve">discrete areas of administrative concern.</w:t>
      </w:r>
      <w:r>
        <w:t xml:space="preserve">”</w:t>
      </w:r>
    </w:p>
    <w:p>
      <w:pPr>
        <w:pStyle w:val="BodyText"/>
      </w:pPr>
      <w:r>
        <w:t xml:space="preserve">We developed the</w:t>
      </w:r>
      <w:r>
        <w:t xml:space="preserve"> </w:t>
      </w:r>
      <w:r>
        <w:rPr>
          <w:i/>
          <w:iCs/>
        </w:rPr>
        <w:t xml:space="preserve">Legislation Applicable to Pacific Salmon and their Ecosystems</w:t>
      </w:r>
      <w:r>
        <w:t xml:space="preserve"> </w:t>
      </w:r>
      <w:r>
        <w:t xml:space="preserve">(LAPSE) process and database that parses Canadian federal and British Columbian acts and regulations relevant to Pacific salmon, then uses keyword phrase relationships to match clauses (paragraphs) to our management domains and corresponding IUCN threat categories. By creating an extensive, open-source, and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2"/>
    <w:bookmarkEnd w:id="23"/>
    <w:bookmarkStart w:id="29" w:name="Xf36a64da03c825d64fdc209fc6c979849cc8a9e"/>
    <w:p>
      <w:pPr>
        <w:pStyle w:val="Heading1"/>
      </w:pPr>
      <w:r>
        <w:t xml:space="preserve">Management domains and International Union for Conservation of Nature (IUCN) threat categories</w:t>
      </w:r>
    </w:p>
    <w:p>
      <w:pPr>
        <w:pStyle w:val="FirstParagraph"/>
      </w:pPr>
      <w:r>
        <w:t xml:space="preserve">Salafsky et al. (2008)</w:t>
      </w:r>
      <w:r>
        <w:t xml:space="preserve"> </w:t>
      </w:r>
      <w:r>
        <w:t xml:space="preserve">recognized that using a common language or a standard lexicon is essential for conservation science. Threats are a fundamental conservation concept, and can be defined as</w:t>
      </w:r>
      <w:r>
        <w:t xml:space="preserve"> </w:t>
      </w:r>
      <w:r>
        <w:t xml:space="preserve">“</w:t>
      </w:r>
      <w:r>
        <w:t xml:space="preserve">current or future human activities or altered natural phenomena that affect one or more ecosystems or species of interest</w:t>
      </w:r>
      <w:r>
        <w:t xml:space="preserve">”</w:t>
      </w:r>
      <w:r>
        <w:t xml:space="preserve"> </w:t>
      </w:r>
      <w:r>
        <w:t xml:space="preserve">(Salafsky et al. 2024)</w:t>
      </w:r>
      <w:r>
        <w:t xml:space="preserve">. Legislated recovery planning also relies on a description of identified threats</w:t>
      </w:r>
      <w:r>
        <w:t xml:space="preserve"> </w:t>
      </w:r>
      <w:r>
        <w:t xml:space="preserve">(McCune et al. 2013)</w:t>
      </w:r>
      <w:r>
        <w:t xml:space="preserve">. The IUCN and the CMP began developing classifications of direct threats in the early 2000s, which were then compiled and developed further through an iterative process resulting in the</w:t>
      </w:r>
      <w:r>
        <w:t xml:space="preserve"> </w:t>
      </w:r>
      <w:r>
        <w:rPr>
          <w:i/>
          <w:iCs/>
        </w:rPr>
        <w:t xml:space="preserve">IUCN – CMP Direct Threats Classification Version 4.0</w:t>
      </w:r>
      <w:r>
        <w:t xml:space="preserve"> </w:t>
      </w:r>
      <w:r>
        <w:t xml:space="preserve">(Salafsky et al. 2024)</w:t>
      </w:r>
      <w:r>
        <w:t xml:space="preserve"> </w:t>
      </w:r>
      <w:r>
        <w:t xml:space="preserve">used for this exercise. The IUCN Direct Threats Classification uses a hierarchical, exclusive, comprehensive, and expandable structure of three levels similar to the Linnean system of grouping by family, genera, and species</w:t>
      </w:r>
      <w:r>
        <w:t xml:space="preserve"> </w:t>
      </w:r>
      <w:r>
        <w:t xml:space="preserve">(Salafsky et al. 2008)</w:t>
      </w:r>
      <w:r>
        <w:t xml:space="preserve">. First-level categories (Level 1), the broadest, are subdivided into second-level categories (Level 2), which are further subdivided into the most specific, third-level categories (Level 3).</w:t>
      </w:r>
    </w:p>
    <w:p>
      <w:pPr>
        <w:pStyle w:val="BodyText"/>
      </w:pPr>
      <w:r>
        <w:t xml:space="preserve">Canadian and British Columbian legislation has been enacted on a sector-by-sector basis, which doesn’t exactly align well with the IUCN Level 1 categories. The IUCN Level 2 categories fit well with corresponding management domains and legislative categories; however, could be grouped for simplicity and to be more intuitive (Figure</w:t>
      </w:r>
      <w:r>
        <w:t xml:space="preserve"> </w:t>
      </w:r>
      <w:r>
        <w:t xml:space="preserve">1</w:t>
      </w:r>
      <w:r>
        <w:t xml:space="preserve">). IUCN Level 3 categories were not used in this assessment.</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5" name="Picture"/>
            <a:graphic>
              <a:graphicData uri="http://schemas.openxmlformats.org/drawingml/2006/picture">
                <pic:pic>
                  <pic:nvPicPr>
                    <pic:cNvPr descr="../assets/Management%20Domain%20Flowchart.png" id="26" name="Picture"/>
                    <pic:cNvPicPr>
                      <a:picLocks noChangeArrowheads="1" noChangeAspect="1"/>
                    </pic:cNvPicPr>
                  </pic:nvPicPr>
                  <pic:blipFill>
                    <a:blip r:embed="rId24"/>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7" w:name="fig:fig-flowchart-image"/>
      <w:bookmarkEnd w:id="27"/>
      <w:r>
        <w:t xml:space="preserve">Figure 1: Flowchart showing alignment of IUCN Level 2 threat categories with Management Domain in relation to legislation and jurisdiction.</w:t>
      </w:r>
    </w:p>
    <w:p>
      <w:pPr>
        <w:pStyle w:val="BodyText"/>
      </w:pPr>
      <w:r>
        <w:t xml:space="preserve">Lumping and splitting between IUCN Levels 1 and 2 categories was required to match threats with legislation (Table</w:t>
      </w:r>
      <w:r>
        <w:t xml:space="preserve"> </w:t>
      </w:r>
      <w:r>
        <w:t xml:space="preserve">1</w:t>
      </w:r>
      <w:r>
        <w:t xml:space="preserve">), which is why the management domain categories were required. For example, aquaculture and hatcheries are important aspects that impact Pacific salmon populations. This topic spans two IUCN Level 1 categories: 2. Agriculture &amp; Aquaculture and 8. Invasive / Other Problematic Species, Genes &amp; Pathogens, but would be more specifically aligned with the IUCN Level 2 categories: 2.4 Marine &amp; Freshwater Aquaculture and 8.3 Introduced Genetic Material. For clarity and better alignment, we created a management domain called</w:t>
      </w:r>
      <w:r>
        <w:t xml:space="preserve"> </w:t>
      </w:r>
      <w:r>
        <w:t xml:space="preserve">“</w:t>
      </w:r>
      <w:r>
        <w:t xml:space="preserve">Aquaculture and Hatcheries.</w:t>
      </w:r>
      <w:r>
        <w:t xml:space="preserve">”</w:t>
      </w:r>
      <w:r>
        <w:t xml:space="preserve"> </w:t>
      </w:r>
      <w:r>
        <w:t xml:space="preserve">A similar misalignment occurs when assessing the provincial</w:t>
      </w:r>
      <w:r>
        <w:t xml:space="preserve"> </w:t>
      </w:r>
      <w:r>
        <w:t xml:space="preserve">“</w:t>
      </w:r>
      <w:r>
        <w:rPr>
          <w:i/>
          <w:iCs/>
        </w:rPr>
        <w:t xml:space="preserve">Forest And Range Practices Act</w:t>
      </w:r>
      <w:r>
        <w:t xml:space="preserve">.</w:t>
      </w:r>
      <w:r>
        <w:t xml:space="preserve">”</w:t>
      </w:r>
      <w:r>
        <w:t xml:space="preserve"> </w:t>
      </w:r>
      <w:r>
        <w:t xml:space="preserve">Since the management domain categories were derived as close as possible to the IUCN threat categories (a mix of Level 1 and Level 2), most can be viewed as equivalent.</w:t>
      </w:r>
    </w:p>
    <w:p>
      <w:pPr>
        <w:pStyle w:val="TableCaption"/>
      </w:pPr>
      <w:bookmarkStart w:id="28" w:name="tab:management-domain-threat-table"/>
      <w:bookmarkEnd w:id="28"/>
      <w:r>
        <w:t xml:space="preserve">Table 1:</w:t>
      </w:r>
      <w:r>
        <w:t xml:space="preserve"> </w:t>
      </w:r>
      <w:r>
        <w:t xml:space="preserve">Management domains and corresponding IUCN threat categories.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3600"/>
        <w:gridCol w:w="331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1</w:t>
            </w:r>
          </w:p>
        </w:tc>
      </w:tr>
      <w:tr>
        <w:trPr>
          <w:trHeight w:val="360" w:hRule="auto"/>
        </w:trPr>
        body 1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Annual &amp; Perennial Non-Timber Crops</w:t>
            </w:r>
          </w:p>
        </w:tc>
        <w:tc>
          <w:tcPr>
            <w:vMerge w:val="restart"/>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 Marine &amp; Freshwater Aquaculture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 Introduced Genetic Material</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 4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 Geological Events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Natural Disasters</w:t>
            </w:r>
          </w:p>
        </w:tc>
      </w:tr>
      <w:tr>
        <w:trPr>
          <w:trHeight w:val="360" w:hRule="auto"/>
        </w:trPr>
        body 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 Changes in Temperature Regimes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Climate Change</w:t>
            </w:r>
          </w:p>
        </w:tc>
      </w:tr>
      <w:tr>
        <w:trPr>
          <w:trHeight w:val="360" w:hRule="auto"/>
        </w:trPr>
        body 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Changes in Precipitation &amp; Hydrological Regimes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 Fishing, Harvesting &amp; Controlling Aquatic Species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 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Wood &amp; Pulp Plantations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Terrestrial Animal Farming, Ranching &amp; Herding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body10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 Logging, Harvesting &amp; Controlling Trees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body11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Other Human Disturbances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Human Intrusions &amp; Disturbances</w:t>
            </w:r>
          </w:p>
        </w:tc>
      </w:tr>
      <w:tr>
        <w:trPr>
          <w:trHeight w:val="360" w:hRule="auto"/>
        </w:trPr>
        body12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 Invasive Non-Native / Alien Species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body13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 Problematic Native Species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 Pathogens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body15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 Oil &amp; Gas Exploration &amp; Extraction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Energy Production &amp; Mining</w:t>
            </w:r>
          </w:p>
        </w:tc>
      </w:tr>
      <w:tr>
        <w:trPr>
          <w:trHeight w:val="360" w:hRule="auto"/>
        </w:trPr>
        body16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Mining &amp; Quarrying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body17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 Renewable Energy</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 Water-Borne &amp; Other Effluent Pollution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Pollution</w:t>
            </w:r>
          </w:p>
        </w:tc>
      </w:tr>
      <w:tr>
        <w:trPr>
          <w:trHeight w:val="360" w:hRule="auto"/>
        </w:trPr>
        body19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 Garbage &amp; Solid Waste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body20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 Roads, Trails &amp; Railroads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Transportation, Service &amp; Security Corridors</w:t>
            </w:r>
          </w:p>
        </w:tc>
      </w:tr>
      <w:tr>
        <w:trPr>
          <w:trHeight w:val="360" w:hRule="auto"/>
        </w:trPr>
        body21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Utility &amp; Service Lines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body22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 Shipping Lanes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body23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Residential Areas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Residential, Commercial &amp; Recreation Areas</w:t>
            </w:r>
          </w:p>
        </w:tc>
      </w:tr>
      <w:tr>
        <w:trPr>
          <w:trHeight w:val="360" w:hRule="auto"/>
        </w:trPr>
        body24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Dams &amp; Water Management / Use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Natural System Management &amp; Modifications</w:t>
            </w:r>
          </w:p>
        </w:tc>
      </w:tr>
      <w:tr>
        <w:trPr>
          <w:trHeight w:val="360" w:hRule="auto"/>
        </w:trPr>
        body25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Earth &amp; Sediment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 Biological System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r>
      <w:tr>
        <w:trPr>
          <w:trHeight w:val="360" w:hRule="auto"/>
        </w:trPr>
        body28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body29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bl>
    <w:bookmarkEnd w:id="29"/>
    <w:bookmarkStart w:id="47" w:name="X25cb83c7e66e5d117ad3fc9de6fd64368fb47a3"/>
    <w:p>
      <w:pPr>
        <w:pStyle w:val="Heading1"/>
      </w:pPr>
      <w:r>
        <w:t xml:space="preserve">Parsing legislation: 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accumulate and review legislation (CanLii); parse legislation by clause (paragraph), section, and heading; match management domain and IUCN threat keywords to clauses; assign salmon-specific scope categories; match clause type keywords to clauses.</w:t>
      </w:r>
    </w:p>
    <w:bookmarkStart w:id="39"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1" name="Picture"/>
            <a:graphic>
              <a:graphicData uri="http://schemas.openxmlformats.org/drawingml/2006/picture">
                <pic:pic>
                  <pic:nvPicPr>
                    <pic:cNvPr descr="LAPSE_primary_publication_files/figure-docx/fig-sankey-federal-1.png" id="32" name="Picture"/>
                    <pic:cNvPicPr>
                      <a:picLocks noChangeArrowheads="1" noChangeAspect="1"/>
                    </pic:cNvPicPr>
                  </pic:nvPicPr>
                  <pic:blipFill>
                    <a:blip r:embed="rId30"/>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3" w:name="fig:fig-sankey-federal"/>
      <w:bookmarkEnd w:id="33"/>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5" name="Picture"/>
            <a:graphic>
              <a:graphicData uri="http://schemas.openxmlformats.org/drawingml/2006/picture">
                <pic:pic>
                  <pic:nvPicPr>
                    <pic:cNvPr descr="LAPSE_primary_publication_files/figure-docx/fig-sankey-provincial-1.png" id="36" name="Picture"/>
                    <pic:cNvPicPr>
                      <a:picLocks noChangeArrowheads="1" noChangeAspect="1"/>
                    </pic:cNvPicPr>
                  </pic:nvPicPr>
                  <pic:blipFill>
                    <a:blip r:embed="rId3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7" w:name="fig:fig-sankey-provincial"/>
      <w:bookmarkEnd w:id="37"/>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salmon and habitat stewardship.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Compact"/>
        <w:numPr>
          <w:ilvl w:val="0"/>
          <w:numId w:val="1003"/>
        </w:numPr>
      </w:pPr>
      <w:r>
        <w:rPr>
          <w:b/>
          <w:bCs/>
        </w:rPr>
        <w:t xml:space="preserve">MW - That’s true, although many sections of the Water Sustainability Act aren’t built out and utilized.</w:t>
      </w:r>
    </w:p>
    <w:p>
      <w:pPr>
        <w:pStyle w:val="FirstParagraph"/>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Pacific salmon specific terms (salmon, Chinook, sockeye, etc.); extract other keywords from the salmon-specific legislation (word frequency analysis using udpipe R package); query found keywords and IUCN Threat description wording in CanLII to find adjacent legislation; filter legislation regionally (excluding provinces other than BC); and download HTML files for relevant legislation directly from government websites.</w:t>
      </w:r>
    </w:p>
    <w:p>
      <w:pPr>
        <w:pStyle w:val="Compact"/>
        <w:numPr>
          <w:ilvl w:val="0"/>
          <w:numId w:val="1004"/>
        </w:numPr>
      </w:pPr>
      <w:r>
        <w:rPr>
          <w:b/>
          <w:bCs/>
        </w:rPr>
        <w:t xml:space="preserve">DG - Needs citation - citation(</w:t>
      </w:r>
      <w:r>
        <w:rPr>
          <w:b/>
          <w:bCs/>
        </w:rPr>
        <w:t xml:space="preserve">“</w:t>
      </w:r>
      <w:r>
        <w:rPr>
          <w:b/>
          <w:bCs/>
        </w:rPr>
        <w:t xml:space="preserve">packagename</w:t>
      </w:r>
      <w:r>
        <w:rPr>
          <w:b/>
          <w:bCs/>
        </w:rPr>
        <w:t xml:space="preserve">”</w:t>
      </w:r>
      <w:r>
        <w:rPr>
          <w:b/>
          <w:bCs/>
        </w:rPr>
        <w:t xml:space="preserve">) in R can get you this</w:t>
      </w:r>
    </w:p>
    <w:p>
      <w:pPr>
        <w:pStyle w:val="FirstParagraph"/>
      </w:pPr>
      <w:r>
        <w:t xml:space="preserve">Through the CanLII website, the user may look up the keywords queried in each statute chosen. This allows the user to assess the context of the word in the legislation and determine if the section is relevant to Pacific salmon. The number of statutes collected for inclusion in this study is shown in Table</w:t>
      </w:r>
      <w:r>
        <w:t xml:space="preserve"> </w:t>
      </w:r>
      <w:r>
        <w:t xml:space="preserve">2</w:t>
      </w:r>
      <w:r>
        <w:t xml:space="preserve">.</w:t>
      </w:r>
    </w:p>
    <w:p>
      <w:pPr>
        <w:pStyle w:val="TableCaption"/>
      </w:pPr>
      <w:bookmarkStart w:id="38" w:name="tab:legislation-summary-table"/>
      <w:bookmarkEnd w:id="38"/>
      <w:r>
        <w:t xml:space="preserve">Table 2:</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bookmarkEnd w:id="39"/>
    <w:bookmarkStart w:id="44" w:name="legistics"/>
    <w:p>
      <w:pPr>
        <w:pStyle w:val="Heading2"/>
      </w:pPr>
      <w:r>
        <w:t xml:space="preserve">Legistics</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1" name="Picture"/>
            <a:graphic>
              <a:graphicData uri="http://schemas.openxmlformats.org/drawingml/2006/picture">
                <pic:pic>
                  <pic:nvPicPr>
                    <pic:cNvPr descr="../assets/Legistics%20Paragraphing.png" id="42" name="Picture"/>
                    <pic:cNvPicPr>
                      <a:picLocks noChangeArrowheads="1" noChangeAspect="1"/>
                    </pic:cNvPicPr>
                  </pic:nvPicPr>
                  <pic:blipFill>
                    <a:blip r:embed="rId40"/>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3" w:name="fig:fig-legistics-paragraphing"/>
      <w:bookmarkEnd w:id="43"/>
      <w:r>
        <w:t xml:space="preserve">Figure 4:</w:t>
      </w:r>
      <w:r>
        <w:t xml:space="preserve"> </w:t>
      </w:r>
      <w:r>
        <w:t xml:space="preserve">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Compact"/>
        <w:numPr>
          <w:ilvl w:val="0"/>
          <w:numId w:val="1005"/>
        </w:numPr>
      </w:pPr>
      <w:r>
        <w:rPr>
          <w:b/>
          <w:bCs/>
        </w:rPr>
        <w:t xml:space="preserve">DG - Also needs a citation. Note to be consistent in the introduction of R package names. udpipe doesn’t have quotation marks, this one does. The formatting depends on the citation style, so it can be changed later, but a consistent starting point would be good.</w:t>
      </w:r>
    </w:p>
    <w:p>
      <w:pPr>
        <w:pStyle w:val="Compact"/>
        <w:numPr>
          <w:ilvl w:val="0"/>
          <w:numId w:val="1005"/>
        </w:numPr>
      </w:pPr>
      <w:r>
        <w:rPr>
          <w:b/>
          <w:bCs/>
        </w:rPr>
        <w:t xml:space="preserve">MW - Define the statute being the Fisheries Act into the figure or title? For some reason, the term statute is confusing me. I had to look up the definition to check if it included regulations or not. I wonder if it should be defined for readability earlier in the report or if people should just know this term.</w:t>
      </w:r>
    </w:p>
    <w:bookmarkEnd w:id="44"/>
    <w:bookmarkStart w:id="45" w:name="the-lapse-framework-development"/>
    <w:p>
      <w:pPr>
        <w:pStyle w:val="Heading2"/>
      </w:pPr>
      <w:r>
        <w:t xml:space="preserve">The LAPSE framework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5"/>
    <w:bookmarkStart w:id="46"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stewardship. Keywords act as the language link between categorization and the legislative clauses. Keywords must be specific enough to match an IUCN threat, yet general enough to appear in multiple acts and regulations that span many decades of legislative language.</w:t>
      </w:r>
    </w:p>
    <w:p>
      <w:pPr>
        <w:pStyle w:val="BodyText"/>
      </w:pPr>
      <w:r>
        <w:t xml:space="preserve">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 The keyword and keyphrase development process required an iterative researcher revision step because of the varied context of language. While the words used in the IUCN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 threat examples or word frequency analyses.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numPr>
          <w:ilvl w:val="0"/>
          <w:numId w:val="1006"/>
        </w:numPr>
      </w:pPr>
      <w:r>
        <w:rPr>
          <w:b/>
          <w:bCs/>
        </w:rPr>
        <w:t xml:space="preserve">DG - I think this example adequately gets across the idea that keywords may have multiple meanings and may be misaligned with threat categories. I’ve provided some edits for consideration that attempt to refine the context of the threat category definitions. Feel free to refine/reject my edits, and let me know if the ideas I’m attempting to introduce don’t make sense. Happy to discuss further.</w:t>
      </w:r>
    </w:p>
    <w:p>
      <w:pPr>
        <w:numPr>
          <w:ilvl w:val="0"/>
          <w:numId w:val="1006"/>
        </w:numPr>
      </w:pPr>
      <w:r>
        <w:rPr>
          <w:b/>
          <w:bCs/>
        </w:rPr>
        <w:t xml:space="preserve">DG</w:t>
      </w:r>
      <w:r>
        <w:t xml:space="preserve"> </w:t>
      </w:r>
      <w:r>
        <w:t xml:space="preserve">-</w:t>
      </w:r>
      <w:r>
        <w:t xml:space="preserve"> </w:t>
      </w:r>
      <w:r>
        <w:rPr>
          <w:b/>
          <w:bCs/>
        </w:rPr>
        <w:t xml:space="preserve">This is the first time that</w:t>
      </w:r>
      <w:r>
        <w:rPr>
          <w:b/>
          <w:bCs/>
        </w:rPr>
        <w:t xml:space="preserve"> </w:t>
      </w:r>
      <w:r>
        <w:rPr>
          <w:b/>
          <w:bCs/>
        </w:rPr>
        <w:t xml:space="preserve">“</w:t>
      </w:r>
      <w:r>
        <w:rPr>
          <w:b/>
          <w:bCs/>
        </w:rPr>
        <w:t xml:space="preserve">tool</w:t>
      </w:r>
      <w:r>
        <w:rPr>
          <w:b/>
          <w:bCs/>
        </w:rPr>
        <w:t xml:space="preserve">”</w:t>
      </w:r>
      <w:r>
        <w:rPr>
          <w:b/>
          <w:bCs/>
        </w:rPr>
        <w:t xml:space="preserve"> </w:t>
      </w:r>
      <w:r>
        <w:rPr>
          <w:b/>
          <w:bCs/>
        </w:rPr>
        <w:t xml:space="preserve">is used to describe the project. It may be helpful to introduce the concept of this project’s outcomes as a tool in an earlier part of the report, possibly in the section introducing the objectives.</w:t>
      </w:r>
    </w:p>
    <w:p>
      <w:pPr>
        <w:pStyle w:val="FirstParagraph"/>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p>
      <w:pPr>
        <w:pStyle w:val="Compact"/>
        <w:numPr>
          <w:ilvl w:val="0"/>
          <w:numId w:val="1007"/>
        </w:numPr>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p>
    <w:bookmarkEnd w:id="46"/>
    <w:bookmarkEnd w:id="47"/>
    <w:bookmarkStart w:id="68"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stewardship concern rather than specific agency. This tool can then be used by practitioners to view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3</w:t>
      </w:r>
      <w:r>
        <w:t xml:space="preserve">).</w:t>
      </w:r>
    </w:p>
    <w:p>
      <w:pPr>
        <w:pStyle w:val="TableCaption"/>
      </w:pPr>
      <w:bookmarkStart w:id="48" w:name="tab:management-domain-tally"/>
      <w:bookmarkEnd w:id="48"/>
      <w:r>
        <w:t xml:space="preserve">Table 3:</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8,554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29,959</w:t>
            </w:r>
          </w:p>
        </w:tc>
      </w:tr>
    </w:tbl>
    <w:p>
      <w:pPr>
        <w:pStyle w:val="BodyText"/>
      </w:pPr>
      <w:r>
        <w:br/>
      </w:r>
    </w:p>
    <w:p>
      <w:pPr>
        <w:pStyle w:val="BodyText"/>
      </w:pPr>
      <w:r>
        <w:t xml:space="preserve">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(research</w:t>
      </w:r>
      <w:r>
        <w:t xml:space="preserve"> </w:t>
      </w:r>
      <w:r>
        <w:rPr>
          <w:b/>
          <w:bCs/>
        </w:rPr>
        <w:t xml:space="preserve">**scientific?</w:t>
      </w:r>
      <w:r>
        <w:t xml:space="preserve"> </w:t>
      </w:r>
      <w:r>
        <w:t xml:space="preserve">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ompact"/>
        <w:numPr>
          <w:ilvl w:val="0"/>
          <w:numId w:val="1008"/>
        </w:numPr>
      </w:pPr>
      <w:r>
        <w:rPr>
          <w:b/>
          <w:bCs/>
        </w:rPr>
        <w:t xml:space="preserve">MW - The Management Domain of Human Disturbance is just research activities? This seems less intuitive for me than the other management domains since human disturbance could refer to most of them.</w:t>
      </w:r>
    </w:p>
    <w:p>
      <w:pPr>
        <w:pStyle w:val="CaptionedFigure"/>
      </w:pPr>
      <w:r>
        <w:drawing>
          <wp:inline>
            <wp:extent cx="5943600" cy="4457699"/>
            <wp:effectExtent b="0" l="0" r="0" t="0"/>
            <wp:docPr descr="Figure 5: Count of sections matched by management domain, stacked by jurisdiction." title="" id="50" name="Picture"/>
            <a:graphic>
              <a:graphicData uri="http://schemas.openxmlformats.org/drawingml/2006/picture">
                <pic:pic>
                  <pic:nvPicPr>
                    <pic:cNvPr descr="LAPSE_primary_publication_files/figure-docx/section-count-by-management-domain-1.png" id="51" name="Picture"/>
                    <pic:cNvPicPr>
                      <a:picLocks noChangeArrowheads="1" noChangeAspect="1"/>
                    </pic:cNvPicPr>
                  </pic:nvPicPr>
                  <pic:blipFill>
                    <a:blip r:embed="rId4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2" w:name="fig:section-count-by-management-domain"/>
      <w:bookmarkEnd w:id="52"/>
      <w:r>
        <w:t xml:space="preserve">Figure 5: Count of sections matched by management domain, stacked by jurisdiction.</w:t>
      </w:r>
    </w:p>
    <w:bookmarkStart w:id="57" w:name="iucn-level-2-categories"/>
    <w:p>
      <w:pPr>
        <w:pStyle w:val="Heading2"/>
      </w:pPr>
      <w:r>
        <w:t xml:space="preserve">IUCN Level 2 categories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4" name="Picture"/>
            <a:graphic>
              <a:graphicData uri="http://schemas.openxmlformats.org/drawingml/2006/picture">
                <pic:pic>
                  <pic:nvPicPr>
                    <pic:cNvPr descr="LAPSE_primary_publication_files/figure-docx/fig-section-count-by-iucn-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6" w:name="fig:fig-section-count-by-iucn"/>
      <w:bookmarkEnd w:id="56"/>
      <w:r>
        <w:t xml:space="preserve">Figure 6: Section counts by IUCN threat category, separated by jurisdiction.</w:t>
      </w:r>
    </w:p>
    <w:bookmarkEnd w:id="57"/>
    <w:bookmarkStart w:id="67"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language used in the section (Figure</w:t>
      </w:r>
      <w:r>
        <w:t xml:space="preserve"> </w:t>
      </w:r>
      <w:r>
        <w:t xml:space="preserve">7</w:t>
      </w:r>
      <w:r>
        <w:t xml:space="preserve">). The scope categories were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CaptionedFigure"/>
      </w:pPr>
      <w:r>
        <w:drawing>
          <wp:inline>
            <wp:extent cx="5943600" cy="5200649"/>
            <wp:effectExtent b="0" l="0" r="0" t="0"/>
            <wp:docPr descr="Figure 7: Proportion of sections by management domain, displayed as concentric rings representing scope categories (inner to outer: 1 - Salmon, 2 - Fish, 3 - Habitat, 4 - Governance)." title="" id="59" name="Picture"/>
            <a:graphic>
              <a:graphicData uri="http://schemas.openxmlformats.org/drawingml/2006/picture">
                <pic:pic>
                  <pic:nvPicPr>
                    <pic:cNvPr descr="LAPSE_primary_publication_files/figure-docx/multiscope-donut-1.png" id="60" name="Picture"/>
                    <pic:cNvPicPr>
                      <a:picLocks noChangeArrowheads="1" noChangeAspect="1"/>
                    </pic:cNvPicPr>
                  </pic:nvPicPr>
                  <pic:blipFill>
                    <a:blip r:embed="rId58"/>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61" w:name="fig:multiscope-donut"/>
      <w:bookmarkEnd w:id="61"/>
      <w:r>
        <w:t xml:space="preserve">Figure 7: Proportion of sections by management domain, displayed as concentric rings representing scope categories (inner to outer: 1 - Salmon, 2 - Fish, 3 - Habitat, 4 - Governance).</w:t>
      </w:r>
    </w:p>
    <w:p>
      <w:pPr>
        <w:pStyle w:val="Compact"/>
        <w:numPr>
          <w:ilvl w:val="0"/>
          <w:numId w:val="1009"/>
        </w:numPr>
      </w:pPr>
      <w:r>
        <w:rPr>
          <w:b/>
          <w:bCs/>
        </w:rPr>
        <w:t xml:space="preserve">DG - This is a super cool figure. I have a couple of questions about it. How was the order of the categories decided? Governance is the largest ring as #4, but it has the fewest management domains, so it could be more easily interpreted as a smaller ring compared to salmon, which relates to many categories but is the smallest ring at #1. I also find the colours difficult to distinguish. I assume this pattern was used because there are so many categories and a categorical colour scheme may be difficult with so many categories. I suggest devising an accessible colour scheme using an online tool for the maximum feasible number of categories, and then perhaps add linework/cross hatching to further distinguish the remaining categories. Currently, the gradient suggests in a way that there’s a relationship between proximal management domains, but it merely is arranged alphabetically.</w:t>
      </w:r>
    </w:p>
    <w:p>
      <w:pPr>
        <w:pStyle w:val="FirstParagraph"/>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4</w:t>
      </w:r>
      <w:r>
        <w:t xml:space="preserve">). More federal legislation sections matched with salmon harvest categories than provincial.</w:t>
      </w:r>
    </w:p>
    <w:p>
      <w:pPr>
        <w:pStyle w:val="TableCaption"/>
      </w:pPr>
      <w:bookmarkStart w:id="62" w:name="tab:scope-tally"/>
      <w:bookmarkEnd w:id="62"/>
      <w:r>
        <w:t xml:space="preserve">Table 4:</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8</w:t>
      </w:r>
      <w:r>
        <w:t xml:space="preserve">, specifically, the British Columbia Sport Fishing Regulations, 1996; National Parks of Canada Fishing Regulations; and Pacific Fishery Regulations 1993.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w:t>
      </w:r>
      <w:r>
        <w:t xml:space="preserve">“</w:t>
      </w:r>
      <w:r>
        <w:t xml:space="preserve">1 - Salmon</w:t>
      </w:r>
      <w:r>
        <w:t xml:space="preserve">”</w:t>
      </w:r>
      <w:r>
        <w:t xml:space="preserve">) at all, only the regulations made under the</w:t>
      </w:r>
      <w:r>
        <w:t xml:space="preserve"> </w:t>
      </w:r>
      <w:r>
        <w:rPr>
          <w:i/>
          <w:iCs/>
        </w:rPr>
        <w:t xml:space="preserve">Fisheries Act</w:t>
      </w:r>
      <w:r>
        <w:t xml:space="preserve"> </w:t>
      </w:r>
      <w:r>
        <w:t xml:space="preserve">use salmon-specific language.</w:t>
      </w:r>
    </w:p>
    <w:p>
      <w:pPr>
        <w:pStyle w:val="CaptionedFigure"/>
      </w:pPr>
      <w:r>
        <w:drawing>
          <wp:inline>
            <wp:extent cx="5943600" cy="4457699"/>
            <wp:effectExtent b="0" l="0" r="0" t="0"/>
            <wp:docPr descr="Figure 8: Count of sections by legislation for scope category ‘1 - Salmon’, coloured by jurisdiction." title="" id="64" name="Picture"/>
            <a:graphic>
              <a:graphicData uri="http://schemas.openxmlformats.org/drawingml/2006/picture">
                <pic:pic>
                  <pic:nvPicPr>
                    <pic:cNvPr descr="LAPSE_primary_publication_files/figure-docx/section-count-salmon-scope-1.png" id="65" name="Picture"/>
                    <pic:cNvPicPr>
                      <a:picLocks noChangeArrowheads="1" noChangeAspect="1"/>
                    </pic:cNvPicPr>
                  </pic:nvPicPr>
                  <pic:blipFill>
                    <a:blip r:embed="rId63"/>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6" w:name="fig:section-count-salmon-scope"/>
      <w:bookmarkEnd w:id="66"/>
      <w:r>
        <w:t xml:space="preserve">Figure 8: Count of sections by legislation for scope category</w:t>
      </w:r>
      <w:r>
        <w:t xml:space="preserve"> </w:t>
      </w:r>
      <w:r>
        <w:t xml:space="preserve">‘</w:t>
      </w:r>
      <w:r>
        <w:t xml:space="preserve">1 - Salmon</w:t>
      </w:r>
      <w:r>
        <w:t xml:space="preserve">’</w:t>
      </w:r>
      <w:r>
        <w:t xml:space="preserve">, coloured by jurisdiction.</w:t>
      </w:r>
    </w:p>
    <w:bookmarkEnd w:id="67"/>
    <w:bookmarkEnd w:id="68"/>
    <w:bookmarkStart w:id="70" w:name="legislative-factors-clause-types"/>
    <w:p>
      <w:pPr>
        <w:pStyle w:val="Heading1"/>
      </w:pPr>
      <w:r>
        <w:t xml:space="preserve">Legislative factors: clause types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5</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69" w:name="tab:clause-type-with-domain-tally"/>
      <w:bookmarkEnd w:id="69"/>
      <w:r>
        <w:t xml:space="preserve">Table 5:</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bl>
    <w:p>
      <w:pPr>
        <w:pStyle w:val="BodyText"/>
      </w:pPr>
      <w:r>
        <w:br/>
      </w:r>
    </w:p>
    <w:bookmarkEnd w:id="70"/>
    <w:bookmarkStart w:id="90"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it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COSEWIC has delineated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typically includes a threat assessment using the same IUCN-CMP threat classification used in this legislative assessment.</w:t>
      </w:r>
    </w:p>
    <w:p>
      <w:pPr>
        <w:numPr>
          <w:ilvl w:val="0"/>
          <w:numId w:val="1010"/>
        </w:numPr>
      </w:pPr>
      <w:r>
        <w:rPr>
          <w:b/>
          <w:bCs/>
        </w:rPr>
        <w:t xml:space="preserve">DG - I made some edits for your consideration to fill in some missing details about COSEWIC and the SARA process. Originally my revisions were a bit longer but I scaled it back to try and focus on key pieces. Happy to discuss if needed.</w:t>
      </w:r>
    </w:p>
    <w:p>
      <w:pPr>
        <w:numPr>
          <w:ilvl w:val="0"/>
          <w:numId w:val="1010"/>
        </w:numPr>
      </w:pPr>
      <w:r>
        <w:rPr>
          <w:b/>
          <w:bCs/>
        </w:rPr>
        <w:t xml:space="preserve">DG - Add this citation for this sentence</w:t>
      </w:r>
      <w:r>
        <w:rPr>
          <w:b/>
          <w:bCs/>
        </w:rPr>
        <w:t xml:space="preserve"> </w:t>
      </w:r>
      <w:hyperlink r:id="rId71">
        <w:r>
          <w:rPr>
            <w:rStyle w:val="Hyperlink"/>
            <w:b/>
            <w:bCs/>
          </w:rPr>
          <w:t xml:space="preserve">Cosewic - Guidelines for Recognizing Designatable Units</w:t>
        </w:r>
      </w:hyperlink>
    </w:p>
    <w:p>
      <w:pPr>
        <w:pStyle w:val="FirstParagraph"/>
      </w:pPr>
      <w:r>
        <w:t xml:space="preserve">DFO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 Since CUs are the most current unit for managing salmon in British Columbia, we incorporated CUs in this effort (Table 5).</w:t>
      </w:r>
    </w:p>
    <w:p>
      <w:pPr>
        <w:numPr>
          <w:ilvl w:val="0"/>
          <w:numId w:val="1011"/>
        </w:numPr>
      </w:pPr>
      <w:r>
        <w:rPr>
          <w:b/>
          <w:bCs/>
        </w:rPr>
        <w:t xml:space="preserve">DG - The COSEWIC status assessments for Pacific salmon have a good discussion of the similarities and differences between DUs and CUs. In my view, there are more similarities than differences, and this sentence seems to frame the two as being different.</w:t>
      </w:r>
    </w:p>
    <w:p>
      <w:pPr>
        <w:numPr>
          <w:ilvl w:val="0"/>
          <w:numId w:val="1011"/>
        </w:numPr>
      </w:pPr>
      <w:r>
        <w:rPr>
          <w:b/>
          <w:bCs/>
        </w:rPr>
        <w:t xml:space="preserve">DG - The RPAs were conducted with respect to DUs, since it is a part of the DFO SARA listing process. What this paragraph may be lacking is a discussion of how the salmon DUs were derived, partly based on the CUs DFO had already described. This results in most of the CUs/DUs lining up, except for Interior Fraser Coho (assessed as 1 DU in 2016, 5 CUs currently). Perhaps something to the effect of,</w:t>
      </w:r>
      <w:r>
        <w:rPr>
          <w:b/>
          <w:bCs/>
        </w:rPr>
        <w:t xml:space="preserve"> </w:t>
      </w:r>
      <w:r>
        <w:rPr>
          <w:b/>
          <w:bCs/>
        </w:rPr>
        <w:t xml:space="preserve">“</w:t>
      </w:r>
      <w:r>
        <w:rPr>
          <w:b/>
          <w:bCs/>
        </w:rPr>
        <w:t xml:space="preserve">Since the population structure described through the DU and CU systems largely overlaps for most salmon populations, we attribute the RPA threat assessment results for DUs to their corresponding CUs; however, in a case where a DU is represented by multiple CUs (e.g., interior Fraser Coho) or vice versa, we attributed the overall assessment to each component population</w:t>
      </w:r>
      <w:r>
        <w:rPr>
          <w:b/>
          <w:bCs/>
        </w:rPr>
        <w:t xml:space="preserve">”</w:t>
      </w:r>
      <w:r>
        <w:rPr>
          <w:b/>
          <w:bCs/>
        </w:rPr>
        <w:t xml:space="preserve">.</w:t>
      </w:r>
    </w:p>
    <w:p>
      <w:pPr>
        <w:pStyle w:val="TableCaption"/>
      </w:pPr>
      <w:bookmarkStart w:id="72" w:name="tab:cu-species-cu-name-table"/>
      <w:bookmarkEnd w:id="72"/>
      <w:r>
        <w:t xml:space="preserve">Table 6:</w:t>
      </w:r>
      <w:r>
        <w:t xml:space="preserve"> </w:t>
      </w:r>
      <w:r>
        <w:t xml:space="preserve">Conservation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numPr>
          <w:ilvl w:val="0"/>
          <w:numId w:val="1012"/>
        </w:numPr>
      </w:pPr>
      <w:r>
        <w:rPr>
          <w:b/>
          <w:bCs/>
        </w:rPr>
        <w:t xml:space="preserve">DG - I suggest adding a column that has the RPA citation that covers each group of DUs, since I don’t see the RPAs cited anywhere else.</w:t>
      </w:r>
    </w:p>
    <w:p>
      <w:pPr>
        <w:numPr>
          <w:ilvl w:val="0"/>
          <w:numId w:val="1012"/>
        </w:numPr>
      </w:pPr>
      <w:r>
        <w:rPr>
          <w:b/>
          <w:bCs/>
        </w:rPr>
        <w:t xml:space="preserve">DG - For consideration: mapping the CUs to their corresponding DUs in this table. The STREAM platform has a crosswalk for this.</w:t>
      </w:r>
    </w:p>
    <w:p>
      <w:pPr>
        <w:numPr>
          <w:ilvl w:val="0"/>
          <w:numId w:val="1012"/>
        </w:numPr>
      </w:pPr>
      <w:r>
        <w:rPr>
          <w:b/>
          <w:bCs/>
        </w:rPr>
        <w:t xml:space="preserve">DG - Following that train of thought, I think a more appropriate caption for this table would be: Designatable Units included in DFO’s Recovery Potential Assessment analyses and their corresponding Conservation Units</w:t>
      </w:r>
    </w:p>
    <w:p>
      <w:pPr>
        <w:numPr>
          <w:ilvl w:val="0"/>
          <w:numId w:val="1012"/>
        </w:numPr>
      </w:pPr>
      <w:r>
        <w:rPr>
          <w:b/>
          <w:bCs/>
        </w:rPr>
        <w:t xml:space="preserve">DG - I think it would be worth mentioning how this selection of RPAs done. My understanding is that it only included RPAs that conducted threat assessments following the IUCN threat categories. My recollection is that the Sakinaw Lake Sockeye RPA didn’t exactly follow it, so it was excluded from your analysis. Is this correct?</w:t>
      </w:r>
    </w:p>
    <w:p>
      <w:pPr>
        <w:pStyle w:val="FirstParagraph"/>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ompact"/>
        <w:numPr>
          <w:ilvl w:val="0"/>
          <w:numId w:val="1013"/>
        </w:numPr>
      </w:pPr>
      <w:r>
        <w:rPr>
          <w:b/>
          <w:bCs/>
        </w:rPr>
        <w:t xml:space="preserve">DG - Did you use the main threat tables in the body of the RPAs? Chinook DU14 also received a High-Extreme threat risk for 7.3 Other ecosystem modifications</w:t>
      </w:r>
    </w:p>
    <w:p>
      <w:pPr>
        <w:pStyle w:val="CaptionedFigure"/>
      </w:pPr>
      <w:r>
        <w:drawing>
          <wp:inline>
            <wp:extent cx="5943600" cy="4457699"/>
            <wp:effectExtent b="0" l="0" r="0" t="0"/>
            <wp:docPr descr="Figure 9: Conservation Unit count across IUCN threat categories and RPA threat rankings. Darker cells indicate more Conservation Units assessed at that threat level." title="" id="74" name="Picture"/>
            <a:graphic>
              <a:graphicData uri="http://schemas.openxmlformats.org/drawingml/2006/picture">
                <pic:pic>
                  <pic:nvPicPr>
                    <pic:cNvPr descr="LAPSE_primary_publication_files/figure-docx/cu-ranking-heatmap-1.png" id="75" name="Picture"/>
                    <pic:cNvPicPr>
                      <a:picLocks noChangeArrowheads="1" noChangeAspect="1"/>
                    </pic:cNvPicPr>
                  </pic:nvPicPr>
                  <pic:blipFill>
                    <a:blip r:embed="rId73"/>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6" w:name="fig:cu-ranking-heatmap"/>
      <w:bookmarkEnd w:id="76"/>
      <w:r>
        <w:t xml:space="preserve">Figure 9: Conservation Unit count across IUCN threat categories and RPA threat rankings. Darker cells indicate more Conservation Units assessed at that threat level.</w:t>
      </w:r>
    </w:p>
    <w:p>
      <w:pPr>
        <w:numPr>
          <w:ilvl w:val="0"/>
          <w:numId w:val="1014"/>
        </w:numPr>
      </w:pPr>
      <w:r>
        <w:rPr>
          <w:b/>
          <w:bCs/>
        </w:rPr>
        <w:t xml:space="preserve">DG - It looks like the x-axis is organized alphabetically, causing some of the threats in categories 10 and 11 to be up at the top.</w:t>
      </w:r>
    </w:p>
    <w:p>
      <w:pPr>
        <w:numPr>
          <w:ilvl w:val="0"/>
          <w:numId w:val="1014"/>
        </w:numPr>
      </w:pPr>
      <w:r>
        <w:rPr>
          <w:b/>
          <w:bCs/>
        </w:rPr>
        <w:t xml:space="preserve">DG - Certain threat categories (e.g., pathogens) were only assessed in select RPAs (in this case, Interior Fraser Coho I think), which would bias the CU count. I think it would make the analysis more standardized if there was a common subset of threats assessed within each RPA that was chosen.</w:t>
      </w:r>
    </w:p>
    <w:bookmarkStart w:id="82"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DFO Recovery Potential Assessment processes, which was</w:t>
      </w:r>
      <w:r>
        <w:t xml:space="preserve"> </w:t>
      </w:r>
      <w:r>
        <w:t xml:space="preserve">“</w:t>
      </w:r>
      <w:r>
        <w:t xml:space="preserve">10.1 Geological Events</w:t>
      </w:r>
      <w:r>
        <w:t xml:space="preserve">”</w:t>
      </w:r>
      <w:r>
        <w:t xml:space="preserve"> </w:t>
      </w:r>
      <w:r>
        <w:t xml:space="preserve">[doutaz2020;</w:t>
      </w:r>
      <w:r>
        <w:t xml:space="preserve"> </w:t>
      </w:r>
      <w:r>
        <w:t xml:space="preserve">DFO (2022a)</w:t>
      </w:r>
      <w:r>
        <w:t xml:space="preserve">]. This threat was assigned to one sockeye and three Chinook conservation units (Table</w:t>
      </w:r>
      <w:r>
        <w:t xml:space="preserve"> </w:t>
      </w:r>
      <w:r>
        <w:t xml:space="preserve">7</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 [doutaz2020;</w:t>
      </w:r>
      <w:r>
        <w:t xml:space="preserve"> </w:t>
      </w:r>
      <w:r>
        <w:t xml:space="preserve">DFO (2022a)</w:t>
      </w:r>
      <w:r>
        <w:t xml:space="preserve">]:</w:t>
      </w:r>
    </w:p>
    <w:p>
      <w:pPr>
        <w:numPr>
          <w:ilvl w:val="0"/>
          <w:numId w:val="1015"/>
        </w:numPr>
      </w:pPr>
      <w:r>
        <w:rPr>
          <w:b/>
          <w:bCs/>
        </w:rPr>
        <w:t xml:space="preserve">DG - Suggest using IUCN-CMP throughout if that’s what we’re starting with.</w:t>
      </w:r>
    </w:p>
    <w:p>
      <w:pPr>
        <w:numPr>
          <w:ilvl w:val="0"/>
          <w:numId w:val="1015"/>
        </w:numPr>
      </w:pPr>
      <w:r>
        <w:rPr>
          <w:b/>
          <w:bCs/>
        </w:rPr>
        <w:t xml:space="preserve">DG - I’m not super familiar with the most recent version of the IUCN-CMP threat classification framework that you’re using in this analysis, but in the RPAs, Geological events is</w:t>
      </w:r>
      <w:r>
        <w:rPr>
          <w:b/>
          <w:bCs/>
        </w:rPr>
        <w:t xml:space="preserve"> </w:t>
      </w:r>
      <w:r>
        <w:rPr>
          <w:b/>
          <w:bCs/>
        </w:rPr>
        <w:t xml:space="preserve">“</w:t>
      </w:r>
      <w:r>
        <w:rPr>
          <w:b/>
          <w:bCs/>
        </w:rPr>
        <w:t xml:space="preserve">10</w:t>
      </w:r>
      <w:r>
        <w:rPr>
          <w:b/>
          <w:bCs/>
        </w:rPr>
        <w:t xml:space="preserve">”</w:t>
      </w:r>
      <w:r>
        <w:rPr>
          <w:b/>
          <w:bCs/>
        </w:rPr>
        <w:t xml:space="preserve"> </w:t>
      </w:r>
      <w:r>
        <w:rPr>
          <w:b/>
          <w:bCs/>
        </w:rPr>
        <w:t xml:space="preserve">and is a first-level threat, and Avalanches/landslides is</w:t>
      </w:r>
      <w:r>
        <w:rPr>
          <w:b/>
          <w:bCs/>
        </w:rPr>
        <w:t xml:space="preserve"> </w:t>
      </w:r>
      <w:r>
        <w:rPr>
          <w:b/>
          <w:bCs/>
        </w:rPr>
        <w:t xml:space="preserve">“</w:t>
      </w:r>
      <w:r>
        <w:rPr>
          <w:b/>
          <w:bCs/>
        </w:rPr>
        <w:t xml:space="preserve">10.1</w:t>
      </w:r>
      <w:r>
        <w:rPr>
          <w:b/>
          <w:bCs/>
        </w:rPr>
        <w:t xml:space="preserve">”</w:t>
      </w:r>
      <w:r>
        <w:rPr>
          <w:b/>
          <w:bCs/>
        </w:rPr>
        <w:t xml:space="preserve"> </w:t>
      </w:r>
      <w:r>
        <w:rPr>
          <w:b/>
          <w:bCs/>
        </w:rPr>
        <w:t xml:space="preserve">and is a second-level threat.</w:t>
      </w:r>
    </w:p>
    <w:p>
      <w:pPr>
        <w:numPr>
          <w:ilvl w:val="0"/>
          <w:numId w:val="1015"/>
        </w:numPr>
      </w:pPr>
      <w:r>
        <w:rPr>
          <w:b/>
          <w:bCs/>
        </w:rPr>
        <w:t xml:space="preserve">DG - I suggest just citing the RES Docs instead of the SARs</w:t>
      </w:r>
    </w:p>
    <w:p>
      <w:pPr>
        <w:numPr>
          <w:ilvl w:val="0"/>
          <w:numId w:val="1015"/>
        </w:numPr>
      </w:pPr>
      <w:r>
        <w:rPr>
          <w:b/>
          <w:bCs/>
        </w:rPr>
        <w:t xml:space="preserve">DG - Are we referring to the DFO administrative area or is this a more generic term? If it’s more generic, perhaps something like middle/upper Fraser River area would be more precise for these DUs.</w:t>
      </w:r>
    </w:p>
    <w:p>
      <w:pPr>
        <w:pStyle w:val="TableCaption"/>
      </w:pPr>
      <w:bookmarkStart w:id="77" w:name="tab:cu-extreme-threat-table"/>
      <w:bookmarkEnd w:id="77"/>
      <w:r>
        <w:t xml:space="preserve">Table 7:</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10: Section counts by clause type for IUCN threat category 10.1 Geological Events." title="" id="79" name="Picture"/>
            <a:graphic>
              <a:graphicData uri="http://schemas.openxmlformats.org/drawingml/2006/picture">
                <pic:pic>
                  <pic:nvPicPr>
                    <pic:cNvPr descr="LAPSE_primary_publication_files/figure-docx/fig-clause-type-geological-events-1.png" id="80" name="Picture"/>
                    <pic:cNvPicPr>
                      <a:picLocks noChangeArrowheads="1" noChangeAspect="1"/>
                    </pic:cNvPicPr>
                  </pic:nvPicPr>
                  <pic:blipFill>
                    <a:blip r:embed="rId78"/>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1" w:name="fig:fig-clause-type-geological-events"/>
      <w:bookmarkEnd w:id="81"/>
      <w:r>
        <w:t xml:space="preserve">Figure 10: Section counts by clause type for IUCN threat category 10.1 Geological Events.</w:t>
      </w:r>
    </w:p>
    <w:p>
      <w:pPr>
        <w:numPr>
          <w:ilvl w:val="0"/>
          <w:numId w:val="1016"/>
        </w:numPr>
      </w:pPr>
      <w:r>
        <w:rPr>
          <w:b/>
          <w:bCs/>
        </w:rPr>
        <w:t xml:space="preserve">DG - Could be helpful to note the different values on the x-axis between this and the next figure</w:t>
      </w:r>
    </w:p>
    <w:p>
      <w:pPr>
        <w:numPr>
          <w:ilvl w:val="0"/>
          <w:numId w:val="1016"/>
        </w:numPr>
      </w:pPr>
      <w:r>
        <w:rPr>
          <w:b/>
          <w:bCs/>
        </w:rPr>
        <w:t xml:space="preserve">Add more description of Big Bar slide</w:t>
      </w:r>
    </w:p>
    <w:p>
      <w:pPr>
        <w:numPr>
          <w:ilvl w:val="0"/>
          <w:numId w:val="1016"/>
        </w:numPr>
      </w:pPr>
      <w:r>
        <w:rPr>
          <w:b/>
          <w:bCs/>
        </w:rPr>
        <w:t xml:space="preserve">Comment on the most relevant legislation and why</w:t>
      </w:r>
    </w:p>
    <w:bookmarkEnd w:id="82"/>
    <w:bookmarkStart w:id="89"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[doutaz2020]. Water extraction, including groundwater, for irrigation and domestic purposes is listed as the most significant concern [doutaz2020]. This threat was assigned to one Chinook conservation unit in the Fraser Interior area (Table</w:t>
      </w:r>
      <w:r>
        <w:t xml:space="preserve"> </w:t>
      </w:r>
      <w:r>
        <w:t xml:space="preserve">8</w:t>
      </w:r>
      <w:r>
        <w:t xml:space="preserve">).</w:t>
      </w:r>
    </w:p>
    <w:p>
      <w:pPr>
        <w:numPr>
          <w:ilvl w:val="0"/>
          <w:numId w:val="1017"/>
        </w:numPr>
      </w:pPr>
      <w:r>
        <w:rPr>
          <w:b/>
          <w:bCs/>
        </w:rPr>
        <w:t xml:space="preserve">DG - And 7.3 Other ecosystem modifications</w:t>
      </w:r>
    </w:p>
    <w:p>
      <w:pPr>
        <w:numPr>
          <w:ilvl w:val="0"/>
          <w:numId w:val="1017"/>
        </w:numPr>
      </w:pPr>
      <w:r>
        <w:rPr>
          <w:b/>
          <w:bCs/>
        </w:rPr>
        <w:t xml:space="preserve">DG - Likewise, this DU spawns in the South Thompson River watershed, so there’s an opportunity to make this description a bit more precise if wanted.</w:t>
      </w:r>
    </w:p>
    <w:p>
      <w:pPr>
        <w:pStyle w:val="TableCaption"/>
      </w:pPr>
      <w:bookmarkStart w:id="83" w:name="tab:cu-extreme-high-threat-table"/>
      <w:bookmarkEnd w:id="83"/>
      <w:r>
        <w:t xml:space="preserve">Table 8:</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18"/>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FirstParagraph"/>
      </w:pPr>
      <w:r>
        <w:t xml:space="preserve">The clause type matches for Dams and Water Management / Use were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1: Section counts by clause type for IUCN threat category 7.2 Dams &amp; Water Management / Use." title="" id="85" name="Picture"/>
            <a:graphic>
              <a:graphicData uri="http://schemas.openxmlformats.org/drawingml/2006/picture">
                <pic:pic>
                  <pic:nvPicPr>
                    <pic:cNvPr descr="LAPSE_primary_publication_files/figure-docx/fig-clause-type-water-use-1.png" id="86" name="Picture"/>
                    <pic:cNvPicPr>
                      <a:picLocks noChangeArrowheads="1" noChangeAspect="1"/>
                    </pic:cNvPicPr>
                  </pic:nvPicPr>
                  <pic:blipFill>
                    <a:blip r:embed="rId84"/>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7" w:name="fig:fig-clause-type-water-use"/>
      <w:bookmarkEnd w:id="87"/>
      <w:r>
        <w:t xml:space="preserve">Figure 11: Section counts by clause type for IUCN threat category 7.2 Dams &amp; Water Management / Use.</w:t>
      </w:r>
    </w:p>
    <w:p>
      <w:pPr>
        <w:numPr>
          <w:ilvl w:val="0"/>
          <w:numId w:val="1019"/>
        </w:numPr>
      </w:pPr>
      <w:r>
        <w:rPr>
          <w:b/>
          <w:bCs/>
        </w:rPr>
        <w:t xml:space="preserve">add more description of Bessette Creek</w:t>
      </w:r>
    </w:p>
    <w:p>
      <w:pPr>
        <w:numPr>
          <w:ilvl w:val="0"/>
          <w:numId w:val="1019"/>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88">
        <w:r>
          <w:rPr>
            <w:rStyle w:val="Hyperlink"/>
            <w:b/>
            <w:bCs/>
          </w:rPr>
          <w:t xml:space="preserve">Aquatic Report Catalogue</w:t>
        </w:r>
      </w:hyperlink>
    </w:p>
    <w:p>
      <w:pPr>
        <w:numPr>
          <w:ilvl w:val="0"/>
          <w:numId w:val="1019"/>
        </w:numPr>
      </w:pPr>
      <w:r>
        <w:rPr>
          <w:b/>
          <w:bCs/>
        </w:rPr>
        <w:t xml:space="preserve">Comment on the most relevant legislation and why</w:t>
      </w:r>
    </w:p>
    <w:p>
      <w:pPr>
        <w:numPr>
          <w:ilvl w:val="0"/>
          <w:numId w:val="1019"/>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20"/>
        </w:numPr>
      </w:pPr>
      <w:r>
        <w:rPr>
          <w:b/>
          <w:bCs/>
        </w:rPr>
        <w:t xml:space="preserve">The decision maker must consider the environmental flow needs of the stream (as outlined in the EFN Policy).</w:t>
      </w:r>
    </w:p>
    <w:p>
      <w:pPr>
        <w:numPr>
          <w:ilvl w:val="1"/>
          <w:numId w:val="1020"/>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89"/>
    <w:bookmarkEnd w:id="90"/>
    <w:bookmarkStart w:id="91"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91"/>
    <w:bookmarkStart w:id="93"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2"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21"/>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92"/>
    <w:bookmarkEnd w:id="93"/>
    <w:bookmarkStart w:id="167" w:name="references"/>
    <w:p>
      <w:pPr>
        <w:pStyle w:val="Heading1"/>
      </w:pPr>
      <w:r>
        <w:t xml:space="preserve">References</w:t>
      </w:r>
    </w:p>
    <w:bookmarkStart w:id="166" w:name="refs"/>
    <w:bookmarkStart w:id="94"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94"/>
    <w:bookmarkStart w:id="96"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5">
        <w:r>
          <w:rPr>
            <w:rStyle w:val="Hyperlink"/>
          </w:rPr>
          <w:t xml:space="preserve">10.1101/2024.12.01.626233</w:t>
        </w:r>
      </w:hyperlink>
      <w:r>
        <w:t xml:space="preserve">.</w:t>
      </w:r>
    </w:p>
    <w:bookmarkEnd w:id="96"/>
    <w:bookmarkStart w:id="98"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7">
        <w:r>
          <w:rPr>
            <w:rStyle w:val="Hyperlink"/>
          </w:rPr>
          <w:t xml:space="preserve">10.3390/su6096024</w:t>
        </w:r>
      </w:hyperlink>
      <w:r>
        <w:t xml:space="preserve">.</w:t>
      </w:r>
    </w:p>
    <w:bookmarkEnd w:id="98"/>
    <w:bookmarkStart w:id="99"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99"/>
    <w:bookmarkStart w:id="101"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0">
        <w:r>
          <w:rPr>
            <w:rStyle w:val="Hyperlink"/>
          </w:rPr>
          <w:t xml:space="preserve">10.5751/ES-02784-140145</w:t>
        </w:r>
      </w:hyperlink>
      <w:r>
        <w:t xml:space="preserve">.</w:t>
      </w:r>
    </w:p>
    <w:bookmarkEnd w:id="101"/>
    <w:bookmarkStart w:id="103"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2">
        <w:r>
          <w:rPr>
            <w:rStyle w:val="Hyperlink"/>
          </w:rPr>
          <w:t xml:space="preserve">10.1139/facets-2025-0031</w:t>
        </w:r>
      </w:hyperlink>
      <w:r>
        <w:t xml:space="preserve">.</w:t>
      </w:r>
    </w:p>
    <w:bookmarkEnd w:id="103"/>
    <w:bookmarkStart w:id="105"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4">
        <w:r>
          <w:rPr>
            <w:rStyle w:val="Hyperlink"/>
          </w:rPr>
          <w:t xml:space="preserve">10.3233/EPL-2002-32_5_13</w:t>
        </w:r>
      </w:hyperlink>
      <w:r>
        <w:t xml:space="preserve">.</w:t>
      </w:r>
    </w:p>
    <w:bookmarkEnd w:id="105"/>
    <w:bookmarkStart w:id="107"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6">
        <w:r>
          <w:rPr>
            <w:rStyle w:val="Hyperlink"/>
          </w:rPr>
          <w:t xml:space="preserve">https://www.canlii.org/</w:t>
        </w:r>
      </w:hyperlink>
      <w:r>
        <w:t xml:space="preserve"> </w:t>
      </w:r>
      <w:r>
        <w:t xml:space="preserve">[accessed 18 December 2025].</w:t>
      </w:r>
    </w:p>
    <w:bookmarkEnd w:id="107"/>
    <w:bookmarkStart w:id="109"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08">
        <w:r>
          <w:rPr>
            <w:rStyle w:val="Hyperlink"/>
          </w:rPr>
          <w:t xml:space="preserve">10.1111/1365-2664.14239</w:t>
        </w:r>
      </w:hyperlink>
      <w:r>
        <w:t xml:space="preserve">.</w:t>
      </w:r>
    </w:p>
    <w:bookmarkEnd w:id="109"/>
    <w:bookmarkStart w:id="111"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10">
        <w:r>
          <w:rPr>
            <w:rStyle w:val="Hyperlink"/>
          </w:rPr>
          <w:t xml:space="preserve">https://publications.gc.ca/collections/collection_2012/bcp-pco/CP32-93-2012-3-eng.pdf</w:t>
        </w:r>
      </w:hyperlink>
      <w:r>
        <w:t xml:space="preserve">.</w:t>
      </w:r>
    </w:p>
    <w:bookmarkEnd w:id="111"/>
    <w:bookmarkStart w:id="112"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2"/>
    <w:bookmarkStart w:id="114"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3">
        <w:r>
          <w:rPr>
            <w:rStyle w:val="Hyperlink"/>
          </w:rPr>
          <w:t xml:space="preserve">10.1016/j.tree.2014.12.004</w:t>
        </w:r>
      </w:hyperlink>
      <w:r>
        <w:t xml:space="preserve">.</w:t>
      </w:r>
    </w:p>
    <w:bookmarkEnd w:id="114"/>
    <w:bookmarkStart w:id="116"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15">
        <w:r>
          <w:rPr>
            <w:rStyle w:val="Hyperlink"/>
          </w:rPr>
          <w:t xml:space="preserve">10.1139/facets-2023-0204</w:t>
        </w:r>
      </w:hyperlink>
      <w:r>
        <w:t xml:space="preserve">.</w:t>
      </w:r>
    </w:p>
    <w:bookmarkEnd w:id="116"/>
    <w:bookmarkStart w:id="118"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7">
        <w:r>
          <w:rPr>
            <w:rStyle w:val="Hyperlink"/>
          </w:rPr>
          <w:t xml:space="preserve">https://www.justice.gc.ca/eng/rp-pr/csj-sjc/legis-redact/legistics/p3p1.html</w:t>
        </w:r>
      </w:hyperlink>
      <w:r>
        <w:t xml:space="preserve"> </w:t>
      </w:r>
      <w:r>
        <w:t xml:space="preserve">[accessed 18 December 2025].</w:t>
      </w:r>
    </w:p>
    <w:bookmarkEnd w:id="118"/>
    <w:bookmarkStart w:id="120"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19">
        <w:r>
          <w:rPr>
            <w:rStyle w:val="Hyperlink"/>
          </w:rPr>
          <w:t xml:space="preserve">https://laws-lois.justice.gc.ca/PDF/tops/eng/TOPS.pdf</w:t>
        </w:r>
      </w:hyperlink>
      <w:r>
        <w:t xml:space="preserve"> </w:t>
      </w:r>
      <w:r>
        <w:t xml:space="preserve">[accessed 13 January 2026].</w:t>
      </w:r>
    </w:p>
    <w:bookmarkEnd w:id="120"/>
    <w:bookmarkStart w:id="122" w:name="ref-dfo2005"/>
    <w:p>
      <w:pPr>
        <w:pStyle w:val="Bibliography"/>
      </w:pPr>
      <w:r>
        <w:t xml:space="preserve">DFO. 2005. Canada’s policy for conservation of wild pacific salmon.</w:t>
      </w:r>
      <w:r>
        <w:t xml:space="preserve"> </w:t>
      </w:r>
      <w:r>
        <w:t xml:space="preserve">Fisheries and Oceans Canada</w:t>
      </w:r>
      <w:r>
        <w:t xml:space="preserve">, Vancouver, BC. Available from</w:t>
      </w:r>
      <w:r>
        <w:t xml:space="preserve"> </w:t>
      </w:r>
      <w:hyperlink r:id="rId121">
        <w:r>
          <w:rPr>
            <w:rStyle w:val="Hyperlink"/>
          </w:rPr>
          <w:t xml:space="preserve">https://waves-vagues.dfo-mpo.gc.ca/library-bibliotheque/315577.pdf</w:t>
        </w:r>
      </w:hyperlink>
      <w:r>
        <w:t xml:space="preserve">.</w:t>
      </w:r>
    </w:p>
    <w:bookmarkEnd w:id="122"/>
    <w:bookmarkStart w:id="124" w:name="ref-dfo2021"/>
    <w:p>
      <w:pPr>
        <w:pStyle w:val="Bibliography"/>
      </w:pPr>
      <w:r>
        <w:t xml:space="preserve">DFO. 2021. Wild</w:t>
      </w:r>
      <w:r>
        <w:t xml:space="preserve"> </w:t>
      </w:r>
      <w:r>
        <w:t xml:space="preserve">Salmon Policy</w:t>
      </w:r>
      <w:r>
        <w:t xml:space="preserve">: 2018-2022</w:t>
      </w:r>
      <w:r>
        <w:t xml:space="preserve"> </w:t>
      </w:r>
      <w:r>
        <w:t xml:space="preserve">ImplementationPlan</w:t>
      </w:r>
      <w:r>
        <w:t xml:space="preserve">,</w:t>
      </w:r>
      <w:r>
        <w:t xml:space="preserve"> </w:t>
      </w:r>
      <w:r>
        <w:t xml:space="preserve">Annual Report</w:t>
      </w:r>
      <w:r>
        <w:t xml:space="preserve"> </w:t>
      </w:r>
      <w:r>
        <w:t xml:space="preserve">2020-21. Fisheries; Oceans Canada, Vancouver, BC. Available from</w:t>
      </w:r>
      <w:r>
        <w:t xml:space="preserve"> </w:t>
      </w:r>
      <w:hyperlink r:id="rId123">
        <w:r>
          <w:rPr>
            <w:rStyle w:val="Hyperlink"/>
          </w:rPr>
          <w:t xml:space="preserve">https://waves-vagues.dfo-mpo.gc.ca/library-bibliotheque/41031209.pdf</w:t>
        </w:r>
      </w:hyperlink>
      <w:r>
        <w:t xml:space="preserve">.</w:t>
      </w:r>
    </w:p>
    <w:bookmarkEnd w:id="124"/>
    <w:bookmarkStart w:id="126" w:name="ref-DFO2022"/>
    <w:p>
      <w:pPr>
        <w:pStyle w:val="Bibliography"/>
      </w:pPr>
      <w:r>
        <w:t xml:space="preserve">DFO. 2022b. Rebuilding plan:</w:t>
      </w:r>
      <w:r>
        <w:t xml:space="preserve"> </w:t>
      </w:r>
      <w:r>
        <w:t xml:space="preserve">Okanagan Chinook Salmon</w:t>
      </w:r>
      <w:r>
        <w:t xml:space="preserve"> </w:t>
      </w:r>
      <w:r>
        <w:t xml:space="preserve">[</w:t>
      </w:r>
      <w:r>
        <w:t xml:space="preserve">Oncorhynchus</w:t>
      </w:r>
      <w:r>
        <w:t xml:space="preserve"> </w:t>
      </w:r>
      <w:r>
        <w:t xml:space="preserve">tshawytscha] [ntytyix | sk’lwis]. Rebuilding plan: Okanagan Chinook Salmon [Oncorhynchus tshawytscha] [ntytyix | sk’lwis];</w:t>
      </w:r>
      <w:r>
        <w:t xml:space="preserve"> </w:t>
      </w:r>
      <w:r>
        <w:t xml:space="preserve">Fisheries and Oceans Canada</w:t>
      </w:r>
      <w:r>
        <w:t xml:space="preserve">, Ottawa, ON. Available from</w:t>
      </w:r>
      <w:r>
        <w:t xml:space="preserve"> </w:t>
      </w:r>
      <w:hyperlink r:id="rId125">
        <w:r>
          <w:rPr>
            <w:rStyle w:val="Hyperlink"/>
          </w:rPr>
          <w:t xml:space="preserve">https://www.dfo-mpo.gc.ca/fisheries-peches/ifmp-gmp/salmon-saumon/2024/okanagan-2024-eng.html</w:t>
        </w:r>
      </w:hyperlink>
      <w:r>
        <w:t xml:space="preserve">.</w:t>
      </w:r>
    </w:p>
    <w:bookmarkEnd w:id="126"/>
    <w:bookmarkStart w:id="128" w:name="ref-dfo2022"/>
    <w:p>
      <w:pPr>
        <w:pStyle w:val="Bibliography"/>
      </w:pPr>
      <w:r>
        <w:t xml:space="preserve">DFO. 2022a. Guidelines for writing rebuilding plans per the</w:t>
      </w:r>
      <w:r>
        <w:t xml:space="preserve"> </w:t>
      </w:r>
      <w:r>
        <w:t xml:space="preserve">Fish Stocks Provisions</w:t>
      </w:r>
      <w:r>
        <w:t xml:space="preserve"> </w:t>
      </w:r>
      <w:r>
        <w:t xml:space="preserve">and</w:t>
      </w:r>
      <w:r>
        <w:t xml:space="preserve"> </w:t>
      </w:r>
      <w:r>
        <w:t xml:space="preserve">A Fishery Decision-making Framework Incorporating</w:t>
      </w:r>
      <w:r>
        <w:t xml:space="preserve"> </w:t>
      </w:r>
      <w:r>
        <w:t xml:space="preserve">the</w:t>
      </w:r>
      <w:r>
        <w:t xml:space="preserve"> </w:t>
      </w:r>
      <w:r>
        <w:t xml:space="preserve">Precautionary Approach</w:t>
      </w:r>
      <w:r>
        <w:t xml:space="preserve">. Guidelines for writing rebuilding plans per the Fish Stocks Provisions; A Fishery Decision-making Framework Incorporating the Precautionary Approach;</w:t>
      </w:r>
      <w:r>
        <w:t xml:space="preserve"> </w:t>
      </w:r>
      <w:r>
        <w:t xml:space="preserve">Fisheries and Oceans Canada</w:t>
      </w:r>
      <w:r>
        <w:t xml:space="preserve">, Ottawa, ON. Available from</w:t>
      </w:r>
      <w:r>
        <w:t xml:space="preserve"> </w:t>
      </w:r>
      <w:hyperlink r:id="rId127">
        <w:r>
          <w:rPr>
            <w:rStyle w:val="Hyperlink"/>
          </w:rPr>
          <w:t xml:space="preserve">https://www.dfo-mpo.gc.ca/reports-rapports/regs/sff-cpd/precautionary-precaution-eng.htm</w:t>
        </w:r>
      </w:hyperlink>
      <w:r>
        <w:t xml:space="preserve">.</w:t>
      </w:r>
    </w:p>
    <w:bookmarkEnd w:id="128"/>
    <w:bookmarkStart w:id="130" w:name="ref-dfo2024"/>
    <w:p>
      <w:pPr>
        <w:pStyle w:val="Bibliography"/>
      </w:pPr>
      <w:r>
        <w:t xml:space="preserve">DFO. 2024. Trilateral declaration on the urgent need to address wild</w:t>
      </w:r>
      <w:r>
        <w:t xml:space="preserve"> </w:t>
      </w:r>
      <w:r>
        <w:t xml:space="preserve">Pacific</w:t>
      </w:r>
      <w:r>
        <w:t xml:space="preserve"> </w:t>
      </w:r>
      <w:r>
        <w:t xml:space="preserve">salmon populations in</w:t>
      </w:r>
      <w:r>
        <w:t xml:space="preserve"> </w:t>
      </w:r>
      <w:r>
        <w:t xml:space="preserve">British Columbia</w:t>
      </w:r>
      <w:r>
        <w:t xml:space="preserve">. Trilateral declaration on the urgent need to address wild Pacific salmon populations in British Columbia;</w:t>
      </w:r>
      <w:r>
        <w:t xml:space="preserve"> </w:t>
      </w:r>
      <w:r>
        <w:t xml:space="preserve">Fisheries and Oceans Canada</w:t>
      </w:r>
      <w:r>
        <w:t xml:space="preserve">. Available from</w:t>
      </w:r>
      <w:r>
        <w:t xml:space="preserve"> </w:t>
      </w:r>
      <w:hyperlink r:id="rId129">
        <w:r>
          <w:rPr>
            <w:rStyle w:val="Hyperlink"/>
          </w:rPr>
          <w:t xml:space="preserve">https://www.pac.dfo-mpo.gc.ca/fm-gp/salmon-saumon/docs/trilat-agreement-accord/declaration-eng.html</w:t>
        </w:r>
      </w:hyperlink>
      <w:r>
        <w:t xml:space="preserve">.</w:t>
      </w:r>
    </w:p>
    <w:bookmarkEnd w:id="130"/>
    <w:bookmarkStart w:id="131" w:name="ref-dfo2025"/>
    <w:p>
      <w:pPr>
        <w:pStyle w:val="Bibliography"/>
      </w:pPr>
      <w:r>
        <w:t xml:space="preserve">DFO. 2025. Rebuilding plan:</w:t>
      </w:r>
      <w:r>
        <w:t xml:space="preserve"> </w:t>
      </w:r>
      <w:r>
        <w:t xml:space="preserve">West Coast</w:t>
      </w:r>
      <w:r>
        <w:t xml:space="preserve"> </w:t>
      </w:r>
      <w:r>
        <w:t xml:space="preserve">of</w:t>
      </w:r>
      <w:r>
        <w:t xml:space="preserve"> </w:t>
      </w:r>
      <w:r>
        <w:t xml:space="preserve">Vancouver Island Chinook</w:t>
      </w:r>
      <w:r>
        <w:t xml:space="preserve">,</w:t>
      </w:r>
      <w:r>
        <w:t xml:space="preserve"> </w:t>
      </w:r>
      <w:r>
        <w:t xml:space="preserve">Oncorhynchus</w:t>
      </w:r>
      <w:r>
        <w:t xml:space="preserve"> </w:t>
      </w:r>
      <w:r>
        <w:t xml:space="preserve">tshawystcha,</w:t>
      </w:r>
      <w:r>
        <w:t xml:space="preserve"> </w:t>
      </w:r>
      <w:r>
        <w:t xml:space="preserve">Suuhaa</w:t>
      </w:r>
      <w:r>
        <w:t xml:space="preserve"> </w:t>
      </w:r>
      <w:r>
        <w:t xml:space="preserve">|</w:t>
      </w:r>
      <w:r>
        <w:t xml:space="preserve"> </w:t>
      </w:r>
      <w:r>
        <w:t xml:space="preserve">SȾOḰI</w:t>
      </w:r>
      <w:r>
        <w:t xml:space="preserve"> </w:t>
      </w:r>
      <w:r>
        <w:t xml:space="preserve">| sat’sam.</w:t>
      </w:r>
      <w:r>
        <w:t xml:space="preserve"> </w:t>
      </w:r>
      <w:r>
        <w:t xml:space="preserve">Fisheries and Oceans Canada</w:t>
      </w:r>
      <w:r>
        <w:t xml:space="preserve">, Vancouver, BC.</w:t>
      </w:r>
    </w:p>
    <w:bookmarkEnd w:id="131"/>
    <w:bookmarkStart w:id="132"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32"/>
    <w:bookmarkStart w:id="133"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33"/>
    <w:bookmarkStart w:id="135"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34">
        <w:r>
          <w:rPr>
            <w:rStyle w:val="Hyperlink"/>
          </w:rPr>
          <w:t xml:space="preserve">https://www.bclaws.gov.bc.ca/civix/document/id/complete/statreg/02069_01</w:t>
        </w:r>
      </w:hyperlink>
      <w:r>
        <w:t xml:space="preserve">.</w:t>
      </w:r>
    </w:p>
    <w:bookmarkEnd w:id="135"/>
    <w:bookmarkStart w:id="137"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36">
        <w:r>
          <w:rPr>
            <w:rStyle w:val="Hyperlink"/>
          </w:rPr>
          <w:t xml:space="preserve">https://waves-vagues.dfo-mpo.gc.ca/library-bibliotheque/40807071.pdf</w:t>
        </w:r>
      </w:hyperlink>
      <w:r>
        <w:t xml:space="preserve">.</w:t>
      </w:r>
    </w:p>
    <w:bookmarkEnd w:id="137"/>
    <w:bookmarkStart w:id="139"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38">
        <w:r>
          <w:rPr>
            <w:rStyle w:val="Hyperlink"/>
          </w:rPr>
          <w:t xml:space="preserve">10.1139/facets-2020-0084</w:t>
        </w:r>
      </w:hyperlink>
      <w:r>
        <w:t xml:space="preserve">.</w:t>
      </w:r>
    </w:p>
    <w:bookmarkEnd w:id="139"/>
    <w:bookmarkStart w:id="140"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40"/>
    <w:bookmarkStart w:id="142"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41">
        <w:r>
          <w:rPr>
            <w:rStyle w:val="Hyperlink"/>
          </w:rPr>
          <w:t xml:space="preserve">10.1016/j.biocon.2013.07.006</w:t>
        </w:r>
      </w:hyperlink>
      <w:r>
        <w:t xml:space="preserve">.</w:t>
      </w:r>
    </w:p>
    <w:bookmarkEnd w:id="142"/>
    <w:bookmarkStart w:id="144"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43">
        <w:r>
          <w:rPr>
            <w:rStyle w:val="Hyperlink"/>
          </w:rPr>
          <w:t xml:space="preserve">https://publications.gc.ca/collections/collection_2021/parl/xc51-1/XC51-1-1-432-5-eng.pdf</w:t>
        </w:r>
      </w:hyperlink>
      <w:r>
        <w:t xml:space="preserve">.</w:t>
      </w:r>
    </w:p>
    <w:bookmarkEnd w:id="144"/>
    <w:bookmarkStart w:id="146"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45">
        <w:r>
          <w:rPr>
            <w:rStyle w:val="Hyperlink"/>
          </w:rPr>
          <w:t xml:space="preserve">https://laws-lois.justice.gc.ca/PDF/F-14.pdf</w:t>
        </w:r>
      </w:hyperlink>
      <w:r>
        <w:t xml:space="preserve">.</w:t>
      </w:r>
    </w:p>
    <w:bookmarkEnd w:id="146"/>
    <w:bookmarkStart w:id="148"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47">
        <w:r>
          <w:rPr>
            <w:rStyle w:val="Hyperlink"/>
          </w:rPr>
          <w:t xml:space="preserve">10.1111/faf.70027</w:t>
        </w:r>
      </w:hyperlink>
      <w:r>
        <w:t xml:space="preserve">.</w:t>
      </w:r>
    </w:p>
    <w:bookmarkEnd w:id="148"/>
    <w:bookmarkStart w:id="150"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49">
        <w:r>
          <w:rPr>
            <w:rStyle w:val="Hyperlink"/>
          </w:rPr>
          <w:t xml:space="preserve">10.1139/cjfas-2017-0127</w:t>
        </w:r>
      </w:hyperlink>
      <w:r>
        <w:t xml:space="preserve">.</w:t>
      </w:r>
    </w:p>
    <w:bookmarkEnd w:id="150"/>
    <w:bookmarkStart w:id="152"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51">
        <w:r>
          <w:rPr>
            <w:rStyle w:val="Hyperlink"/>
          </w:rPr>
          <w:t xml:space="preserve">https://www.bclaws.gov.bc.ca/civix/content/amr/amr/2067365574/?xsl=/templates/browse.xsl</w:t>
        </w:r>
      </w:hyperlink>
      <w:r>
        <w:t xml:space="preserve">.</w:t>
      </w:r>
    </w:p>
    <w:bookmarkEnd w:id="152"/>
    <w:bookmarkStart w:id="154"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53">
        <w:r>
          <w:rPr>
            <w:rStyle w:val="Hyperlink"/>
          </w:rPr>
          <w:t xml:space="preserve">10.1139/facets-2020-0075</w:t>
        </w:r>
      </w:hyperlink>
      <w:r>
        <w:t xml:space="preserve">.</w:t>
      </w:r>
    </w:p>
    <w:bookmarkEnd w:id="154"/>
    <w:bookmarkStart w:id="156" w:name="ref-salafsky2024"/>
    <w:p>
      <w:pPr>
        <w:pStyle w:val="Bibliography"/>
      </w:pPr>
      <w:r>
        <w:t xml:space="preserve">Salafsky, N., Relton, C., Young, B.E., Lamarre, P., Böhm, M., Chénier, M., Cochrane, E., Dionne, M., He, K.K., Hilton‐Taylor, C., Latrémouille, C., Morrison, J., Raymond, C.V., Seddon, M., and Suresh, V. 2024. Classification of direct threats to the conservation of ecosystems and species 4.0. Conservation Biology</w:t>
      </w:r>
      <w:r>
        <w:t xml:space="preserve"> </w:t>
      </w:r>
      <w:r>
        <w:rPr>
          <w:b/>
          <w:bCs/>
        </w:rPr>
        <w:t xml:space="preserve">39</w:t>
      </w:r>
      <w:r>
        <w:t xml:space="preserve">(3): e14434. doi:</w:t>
      </w:r>
      <w:hyperlink r:id="rId155">
        <w:r>
          <w:rPr>
            <w:rStyle w:val="Hyperlink"/>
          </w:rPr>
          <w:t xml:space="preserve">10.1111/cobi.14434</w:t>
        </w:r>
      </w:hyperlink>
      <w:r>
        <w:t xml:space="preserve">.</w:t>
      </w:r>
    </w:p>
    <w:bookmarkEnd w:id="156"/>
    <w:bookmarkStart w:id="158"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57">
        <w:r>
          <w:rPr>
            <w:rStyle w:val="Hyperlink"/>
          </w:rPr>
          <w:t xml:space="preserve">10.1111/j.1523-1739.2008.00937.x</w:t>
        </w:r>
      </w:hyperlink>
      <w:r>
        <w:t xml:space="preserve">.</w:t>
      </w:r>
    </w:p>
    <w:bookmarkEnd w:id="158"/>
    <w:bookmarkStart w:id="160"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59">
        <w:r>
          <w:rPr>
            <w:rStyle w:val="Hyperlink"/>
          </w:rPr>
          <w:t xml:space="preserve">10.1139/facets-2022-0095</w:t>
        </w:r>
      </w:hyperlink>
      <w:r>
        <w:t xml:space="preserve">.</w:t>
      </w:r>
    </w:p>
    <w:bookmarkEnd w:id="160"/>
    <w:bookmarkStart w:id="161"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61"/>
    <w:bookmarkStart w:id="163"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62">
        <w:r>
          <w:rPr>
            <w:rStyle w:val="Hyperlink"/>
          </w:rPr>
          <w:t xml:space="preserve">10.1139/facets-2020-0064</w:t>
        </w:r>
      </w:hyperlink>
      <w:r>
        <w:t xml:space="preserve">.</w:t>
      </w:r>
    </w:p>
    <w:bookmarkEnd w:id="163"/>
    <w:bookmarkStart w:id="165"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64">
        <w:r>
          <w:rPr>
            <w:rStyle w:val="Hyperlink"/>
          </w:rPr>
          <w:t xml:space="preserve">10.1139/facets-2024-0348</w:t>
        </w:r>
      </w:hyperlink>
      <w:r>
        <w:t xml:space="preserve">.</w:t>
      </w:r>
    </w:p>
    <w:bookmarkEnd w:id="165"/>
    <w:bookmarkEnd w:id="166"/>
    <w:bookmarkEnd w:id="167"/>
    <w:bookmarkStart w:id="168" w:name="supplementary-material"/>
    <w:p>
      <w:pPr>
        <w:pStyle w:val="Heading1"/>
      </w:pPr>
      <w:r>
        <w:t xml:space="preserve">Supplementary material</w:t>
      </w:r>
    </w:p>
    <w:p>
      <w:pPr>
        <w:pStyle w:val="Compact"/>
        <w:numPr>
          <w:ilvl w:val="0"/>
          <w:numId w:val="1022"/>
        </w:numPr>
      </w:pPr>
      <w:r>
        <w:rPr>
          <w:b/>
          <w:bCs/>
        </w:rPr>
        <w:t xml:space="preserve">Links or downloads for the LAPSE tool materials (app etc.)</w:t>
      </w:r>
    </w:p>
    <w:bookmarkEnd w:id="168"/>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406A2"/>
    <w:rsid w:val="00564D74"/>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DA0A6F"/>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styleId="TOCHeading" w:type="paragraph">
    <w:name w:val="TOC Heading"/>
    <w:basedOn w:val="Heading1"/>
    <w:next w:val="Normal"/>
    <w:uiPriority w:val="39"/>
    <w:semiHidden/>
    <w:unhideWhenUsed/>
    <w:qFormat/>
    <w:rsid w:val="005406A2"/>
    <w:pPr>
      <w:spacing w:after="0" w:before="240"/>
      <w:outlineLvl w:val="9"/>
    </w:pPr>
    <w:rPr>
      <w:szCs w:val="32"/>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84" Target="media/rId84.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49" Target="media/rId49.png" /><Relationship Type="http://schemas.openxmlformats.org/officeDocument/2006/relationships/image" Id="rId63" Target="media/rId63.png" /><Relationship Type="http://schemas.openxmlformats.org/officeDocument/2006/relationships/hyperlink" Id="rId88" Target="https://a100.gov.bc.ca/pub/acat/public/viewReport.do?reportId=59109" TargetMode="External" /><Relationship Type="http://schemas.openxmlformats.org/officeDocument/2006/relationships/hyperlink" Id="rId71" Target="https://cosewic.ca/index.php/en/reports/preparing-status-reports/guidelines-recognizing-designatable-units.html" TargetMode="External" /><Relationship Type="http://schemas.openxmlformats.org/officeDocument/2006/relationships/hyperlink" Id="rId141" Target="https://doi.org/10.1016/j.biocon.2013.07.006" TargetMode="External" /><Relationship Type="http://schemas.openxmlformats.org/officeDocument/2006/relationships/hyperlink" Id="rId113" Target="https://doi.org/10.1016/j.tree.2014.12.004" TargetMode="External" /><Relationship Type="http://schemas.openxmlformats.org/officeDocument/2006/relationships/hyperlink" Id="rId95" Target="https://doi.org/10.1101/2024.12.01.626233" TargetMode="External" /><Relationship Type="http://schemas.openxmlformats.org/officeDocument/2006/relationships/hyperlink" Id="rId108" Target="https://doi.org/10.1111/1365-2664.14239" TargetMode="External" /><Relationship Type="http://schemas.openxmlformats.org/officeDocument/2006/relationships/hyperlink" Id="rId155" Target="https://doi.org/10.1111/cobi.14434" TargetMode="External" /><Relationship Type="http://schemas.openxmlformats.org/officeDocument/2006/relationships/hyperlink" Id="rId147" Target="https://doi.org/10.1111/faf.70027" TargetMode="External" /><Relationship Type="http://schemas.openxmlformats.org/officeDocument/2006/relationships/hyperlink" Id="rId157" Target="https://doi.org/10.1111/j.1523-1739.2008.00937.x" TargetMode="External" /><Relationship Type="http://schemas.openxmlformats.org/officeDocument/2006/relationships/hyperlink" Id="rId149" Target="https://doi.org/10.1139/cjfas-2017-0127" TargetMode="External" /><Relationship Type="http://schemas.openxmlformats.org/officeDocument/2006/relationships/hyperlink" Id="rId162" Target="https://doi.org/10.1139/facets-2020-0064" TargetMode="External" /><Relationship Type="http://schemas.openxmlformats.org/officeDocument/2006/relationships/hyperlink" Id="rId153" Target="https://doi.org/10.1139/facets-2020-0075" TargetMode="External" /><Relationship Type="http://schemas.openxmlformats.org/officeDocument/2006/relationships/hyperlink" Id="rId138" Target="https://doi.org/10.1139/facets-2020-0084" TargetMode="External" /><Relationship Type="http://schemas.openxmlformats.org/officeDocument/2006/relationships/hyperlink" Id="rId159" Target="https://doi.org/10.1139/facets-2022-0095" TargetMode="External" /><Relationship Type="http://schemas.openxmlformats.org/officeDocument/2006/relationships/hyperlink" Id="rId115" Target="https://doi.org/10.1139/facets-2023-0204" TargetMode="External" /><Relationship Type="http://schemas.openxmlformats.org/officeDocument/2006/relationships/hyperlink" Id="rId164" Target="https://doi.org/10.1139/facets-2024-0348" TargetMode="External" /><Relationship Type="http://schemas.openxmlformats.org/officeDocument/2006/relationships/hyperlink" Id="rId102" Target="https://doi.org/10.1139/facets-2025-0031" TargetMode="External" /><Relationship Type="http://schemas.openxmlformats.org/officeDocument/2006/relationships/hyperlink" Id="rId104" Target="https://doi.org/10.3233/EPL-2002-32_5_13" TargetMode="External" /><Relationship Type="http://schemas.openxmlformats.org/officeDocument/2006/relationships/hyperlink" Id="rId97" Target="https://doi.org/10.3390/su6096024" TargetMode="External" /><Relationship Type="http://schemas.openxmlformats.org/officeDocument/2006/relationships/hyperlink" Id="rId100" Target="https://doi.org/10.5751/ES-02784-140145" TargetMode="External" /><Relationship Type="http://schemas.openxmlformats.org/officeDocument/2006/relationships/hyperlink" Id="rId145" Target="https://laws-lois.justice.gc.ca/PDF/F-14.pdf" TargetMode="External" /><Relationship Type="http://schemas.openxmlformats.org/officeDocument/2006/relationships/hyperlink" Id="rId119" Target="https://laws-lois.justice.gc.ca/PDF/tops/eng/TOPS.pdf" TargetMode="External" /><Relationship Type="http://schemas.openxmlformats.org/officeDocument/2006/relationships/hyperlink" Id="rId110" Target="https://publications.gc.ca/collections/collection_2012/bcp-pco/CP32-93-2012-3-eng.pdf" TargetMode="External" /><Relationship Type="http://schemas.openxmlformats.org/officeDocument/2006/relationships/hyperlink" Id="rId143" Target="https://publications.gc.ca/collections/collection_2021/parl/xc51-1/XC51-1-1-432-5-eng.pdf" TargetMode="External" /><Relationship Type="http://schemas.openxmlformats.org/officeDocument/2006/relationships/hyperlink" Id="rId121" Target="https://waves-vagues.dfo-mpo.gc.ca/library-bibliotheque/315577.pdf" TargetMode="External" /><Relationship Type="http://schemas.openxmlformats.org/officeDocument/2006/relationships/hyperlink" Id="rId136" Target="https://waves-vagues.dfo-mpo.gc.ca/library-bibliotheque/40807071.pdf" TargetMode="External" /><Relationship Type="http://schemas.openxmlformats.org/officeDocument/2006/relationships/hyperlink" Id="rId123" Target="https://waves-vagues.dfo-mpo.gc.ca/library-bibliotheque/41031209.pdf" TargetMode="External" /><Relationship Type="http://schemas.openxmlformats.org/officeDocument/2006/relationships/hyperlink" Id="rId151" Target="https://www.bclaws.gov.bc.ca/civix/content/amr/amr/2067365574/?xsl=/templates/browse.xsl" TargetMode="External" /><Relationship Type="http://schemas.openxmlformats.org/officeDocument/2006/relationships/hyperlink" Id="rId134" Target="https://www.bclaws.gov.bc.ca/civix/document/id/complete/statreg/02069_01" TargetMode="External" /><Relationship Type="http://schemas.openxmlformats.org/officeDocument/2006/relationships/hyperlink" Id="rId106" Target="https://www.canlii.org/" TargetMode="External" /><Relationship Type="http://schemas.openxmlformats.org/officeDocument/2006/relationships/hyperlink" Id="rId125" Target="https://www.dfo-mpo.gc.ca/fisheries-peches/ifmp-gmp/salmon-saumon/2024/okanagan-2024-eng.html" TargetMode="External" /><Relationship Type="http://schemas.openxmlformats.org/officeDocument/2006/relationships/hyperlink" Id="rId127" Target="https://www.dfo-mpo.gc.ca/reports-rapports/regs/sff-cpd/precautionary-precaution-eng.htm" TargetMode="External" /><Relationship Type="http://schemas.openxmlformats.org/officeDocument/2006/relationships/hyperlink" Id="rId117" Target="https://www.justice.gc.ca/eng/rp-pr/csj-sjc/legis-redact/legistics/p3p1.html" TargetMode="External" /><Relationship Type="http://schemas.openxmlformats.org/officeDocument/2006/relationships/hyperlink" Id="rId129" Target="https://www.pac.dfo-mpo.gc.ca/fm-gp/salmon-saumon/docs/trilat-agreement-accord/declaration-eng.html" TargetMode="External" /></Relationships>
</file>

<file path=word/_rels/footnotes.xml.rels><?xml version="1.0" encoding="UTF-8"?><Relationships xmlns="http://schemas.openxmlformats.org/package/2006/relationships"><Relationship Type="http://schemas.openxmlformats.org/officeDocument/2006/relationships/hyperlink" Id="rId88" Target="https://a100.gov.bc.ca/pub/acat/public/viewReport.do?reportId=59109" TargetMode="External" /><Relationship Type="http://schemas.openxmlformats.org/officeDocument/2006/relationships/hyperlink" Id="rId71" Target="https://cosewic.ca/index.php/en/reports/preparing-status-reports/guidelines-recognizing-designatable-units.html" TargetMode="External" /><Relationship Type="http://schemas.openxmlformats.org/officeDocument/2006/relationships/hyperlink" Id="rId141" Target="https://doi.org/10.1016/j.biocon.2013.07.006" TargetMode="External" /><Relationship Type="http://schemas.openxmlformats.org/officeDocument/2006/relationships/hyperlink" Id="rId113" Target="https://doi.org/10.1016/j.tree.2014.12.004" TargetMode="External" /><Relationship Type="http://schemas.openxmlformats.org/officeDocument/2006/relationships/hyperlink" Id="rId95" Target="https://doi.org/10.1101/2024.12.01.626233" TargetMode="External" /><Relationship Type="http://schemas.openxmlformats.org/officeDocument/2006/relationships/hyperlink" Id="rId108" Target="https://doi.org/10.1111/1365-2664.14239" TargetMode="External" /><Relationship Type="http://schemas.openxmlformats.org/officeDocument/2006/relationships/hyperlink" Id="rId155" Target="https://doi.org/10.1111/cobi.14434" TargetMode="External" /><Relationship Type="http://schemas.openxmlformats.org/officeDocument/2006/relationships/hyperlink" Id="rId147" Target="https://doi.org/10.1111/faf.70027" TargetMode="External" /><Relationship Type="http://schemas.openxmlformats.org/officeDocument/2006/relationships/hyperlink" Id="rId157" Target="https://doi.org/10.1111/j.1523-1739.2008.00937.x" TargetMode="External" /><Relationship Type="http://schemas.openxmlformats.org/officeDocument/2006/relationships/hyperlink" Id="rId149" Target="https://doi.org/10.1139/cjfas-2017-0127" TargetMode="External" /><Relationship Type="http://schemas.openxmlformats.org/officeDocument/2006/relationships/hyperlink" Id="rId162" Target="https://doi.org/10.1139/facets-2020-0064" TargetMode="External" /><Relationship Type="http://schemas.openxmlformats.org/officeDocument/2006/relationships/hyperlink" Id="rId153" Target="https://doi.org/10.1139/facets-2020-0075" TargetMode="External" /><Relationship Type="http://schemas.openxmlformats.org/officeDocument/2006/relationships/hyperlink" Id="rId138" Target="https://doi.org/10.1139/facets-2020-0084" TargetMode="External" /><Relationship Type="http://schemas.openxmlformats.org/officeDocument/2006/relationships/hyperlink" Id="rId159" Target="https://doi.org/10.1139/facets-2022-0095" TargetMode="External" /><Relationship Type="http://schemas.openxmlformats.org/officeDocument/2006/relationships/hyperlink" Id="rId115" Target="https://doi.org/10.1139/facets-2023-0204" TargetMode="External" /><Relationship Type="http://schemas.openxmlformats.org/officeDocument/2006/relationships/hyperlink" Id="rId164" Target="https://doi.org/10.1139/facets-2024-0348" TargetMode="External" /><Relationship Type="http://schemas.openxmlformats.org/officeDocument/2006/relationships/hyperlink" Id="rId102" Target="https://doi.org/10.1139/facets-2025-0031" TargetMode="External" /><Relationship Type="http://schemas.openxmlformats.org/officeDocument/2006/relationships/hyperlink" Id="rId104" Target="https://doi.org/10.3233/EPL-2002-32_5_13" TargetMode="External" /><Relationship Type="http://schemas.openxmlformats.org/officeDocument/2006/relationships/hyperlink" Id="rId97" Target="https://doi.org/10.3390/su6096024" TargetMode="External" /><Relationship Type="http://schemas.openxmlformats.org/officeDocument/2006/relationships/hyperlink" Id="rId100" Target="https://doi.org/10.5751/ES-02784-140145" TargetMode="External" /><Relationship Type="http://schemas.openxmlformats.org/officeDocument/2006/relationships/hyperlink" Id="rId145" Target="https://laws-lois.justice.gc.ca/PDF/F-14.pdf" TargetMode="External" /><Relationship Type="http://schemas.openxmlformats.org/officeDocument/2006/relationships/hyperlink" Id="rId119" Target="https://laws-lois.justice.gc.ca/PDF/tops/eng/TOPS.pdf" TargetMode="External" /><Relationship Type="http://schemas.openxmlformats.org/officeDocument/2006/relationships/hyperlink" Id="rId110" Target="https://publications.gc.ca/collections/collection_2012/bcp-pco/CP32-93-2012-3-eng.pdf" TargetMode="External" /><Relationship Type="http://schemas.openxmlformats.org/officeDocument/2006/relationships/hyperlink" Id="rId143" Target="https://publications.gc.ca/collections/collection_2021/parl/xc51-1/XC51-1-1-432-5-eng.pdf" TargetMode="External" /><Relationship Type="http://schemas.openxmlformats.org/officeDocument/2006/relationships/hyperlink" Id="rId121" Target="https://waves-vagues.dfo-mpo.gc.ca/library-bibliotheque/315577.pdf" TargetMode="External" /><Relationship Type="http://schemas.openxmlformats.org/officeDocument/2006/relationships/hyperlink" Id="rId136" Target="https://waves-vagues.dfo-mpo.gc.ca/library-bibliotheque/40807071.pdf" TargetMode="External" /><Relationship Type="http://schemas.openxmlformats.org/officeDocument/2006/relationships/hyperlink" Id="rId123" Target="https://waves-vagues.dfo-mpo.gc.ca/library-bibliotheque/41031209.pdf" TargetMode="External" /><Relationship Type="http://schemas.openxmlformats.org/officeDocument/2006/relationships/hyperlink" Id="rId151" Target="https://www.bclaws.gov.bc.ca/civix/content/amr/amr/2067365574/?xsl=/templates/browse.xsl" TargetMode="External" /><Relationship Type="http://schemas.openxmlformats.org/officeDocument/2006/relationships/hyperlink" Id="rId134" Target="https://www.bclaws.gov.bc.ca/civix/document/id/complete/statreg/02069_01" TargetMode="External" /><Relationship Type="http://schemas.openxmlformats.org/officeDocument/2006/relationships/hyperlink" Id="rId106" Target="https://www.canlii.org/" TargetMode="External" /><Relationship Type="http://schemas.openxmlformats.org/officeDocument/2006/relationships/hyperlink" Id="rId125" Target="https://www.dfo-mpo.gc.ca/fisheries-peches/ifmp-gmp/salmon-saumon/2024/okanagan-2024-eng.html" TargetMode="External" /><Relationship Type="http://schemas.openxmlformats.org/officeDocument/2006/relationships/hyperlink" Id="rId127" Target="https://www.dfo-mpo.gc.ca/reports-rapports/regs/sff-cpd/precautionary-precaution-eng.htm" TargetMode="External" /><Relationship Type="http://schemas.openxmlformats.org/officeDocument/2006/relationships/hyperlink" Id="rId117" Target="https://www.justice.gc.ca/eng/rp-pr/csj-sjc/legis-redact/legistics/p3p1.html" TargetMode="External" /><Relationship Type="http://schemas.openxmlformats.org/officeDocument/2006/relationships/hyperlink" Id="rId129" Target="https://www.pac.dfo-mpo.gc.ca/fm-gp/salmon-saumon/docs/trilat-agreement-accord/declaration-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2026-01-22T23:17:16Z</dcterms:created>
  <dcterms:modified xsi:type="dcterms:W3CDTF">2026-01-22T23:17:16Z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2026-01-22</vt:lpwstr>
  </property>
  <property fmtid="{D5CDD505-2E9C-101B-9397-08002B2CF9AE}" pid="5" name="language">
    <vt:lpwstr/>
  </property>
  <property fmtid="{D5CDD505-2E9C-101B-9397-08002B2CF9AE}" pid="6" name="output">
    <vt:lpwstr/>
  </property>
</Properties>
</file>