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3"/>
        </w:numPr>
      </w:pPr>
      <w:r>
        <w:t xml:space="preserve">need to introduce managment domains here</w:t>
      </w:r>
    </w:p>
    <w:p>
      <w:pPr>
        <w:pStyle w:val="FirstParagraph"/>
      </w:pPr>
      <w:r>
        <w:t xml:space="preserve">In this study, we seek to decode the complexity between threats to salmon and corresponding environmental legislation by creating an interface between regulatory language and anthropogenic threat categories. We describe and apply the</w:t>
      </w:r>
      <w:r>
        <w:t xml:space="preserve"> </w:t>
      </w:r>
      <w:r>
        <w:rPr>
          <w:i/>
          <w:iCs/>
        </w:rPr>
        <w:t xml:space="preserve">Legislation Applicable to Pacific Salmon and their Ecosystems</w:t>
      </w:r>
      <w:r>
        <w:t xml:space="preserve"> </w:t>
      </w:r>
      <w:r>
        <w:t xml:space="preserve">(LAPSE) database, a repository of federal and provincial legislation and regulations relevant to Pacific salmon in British Columbia. Using a novel method for parsing and classifying legislative clauses, we develop keyword relationships between IUCN threats classifications at the clause (paragraph) level for Canadian federal and British Columbian acts and regulations.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5" w:name="X06bc8cf00ca5baea230857c3fdd1788ec12acc8"/>
    <w:p>
      <w:pPr>
        <w:pStyle w:val="Heading1"/>
      </w:pPr>
      <w:r>
        <w:t xml:space="preserve">International Union for Conservation of Nature (IUCN) threat categories</w:t>
      </w:r>
    </w:p>
    <w:p>
      <w:pPr>
        <w:pStyle w:val="FirstParagraph"/>
      </w:pPr>
      <w:r>
        <w:rPr>
          <w:b/>
          <w:bCs/>
        </w:rPr>
        <w:t xml:space="preserve">One widely used risk assessment framework for Pacific salmon is the</w:t>
      </w:r>
      <w:r>
        <w:rPr>
          <w:b/>
          <w:bCs/>
        </w:rPr>
        <w:t xml:space="preserve"> </w:t>
      </w:r>
      <w:r>
        <w:rPr>
          <w:b/>
          <w:bCs/>
          <w:i/>
          <w:iCs/>
        </w:rPr>
        <w:t xml:space="preserve">International Union for Conservation of Nature</w:t>
      </w:r>
      <w:r>
        <w:rPr>
          <w:b/>
          <w:bCs/>
        </w:rPr>
        <w:t xml:space="preserve"> </w:t>
      </w:r>
      <w:r>
        <w:rPr>
          <w:b/>
          <w:bCs/>
        </w:rPr>
        <w:t xml:space="preserve">(IUCN)</w:t>
      </w:r>
      <w:r>
        <w:rPr>
          <w:b/>
          <w:bCs/>
        </w:rPr>
        <w:t xml:space="preserve"> </w:t>
      </w:r>
      <w:r>
        <w:rPr>
          <w:b/>
          <w:bCs/>
          <w:i/>
          <w:iCs/>
        </w:rPr>
        <w:t xml:space="preserve">Direct Threats Classification</w:t>
      </w:r>
      <w:r>
        <w:rPr>
          <w:b/>
          <w:bCs/>
        </w:rPr>
        <w:t xml:space="preserve">(Salafsky et al. 2008)</w:t>
      </w:r>
      <w:r>
        <w:rPr>
          <w:b/>
          <w:bCs/>
        </w:rPr>
        <w:t xml:space="preserve">, which is applied for Recovery Potential Assessments as part of</w:t>
      </w:r>
      <w:r>
        <w:rPr>
          <w:b/>
          <w:bCs/>
        </w:rPr>
        <w:t xml:space="preserve"> </w:t>
      </w:r>
      <w:r>
        <w:rPr>
          <w:b/>
          <w:bCs/>
          <w:i/>
          <w:iCs/>
        </w:rPr>
        <w:t xml:space="preserve">Species at Risk Act</w:t>
      </w:r>
      <w:r>
        <w:rPr>
          <w:b/>
          <w:bCs/>
        </w:rPr>
        <w:t xml:space="preserve"> </w:t>
      </w:r>
      <w:r>
        <w:rPr>
          <w:b/>
          <w:bCs/>
        </w:rPr>
        <w:t xml:space="preserve">listing processes and for Committee on the Status of Endangered Wildlife in Canada (COSEWIC) status assessments</w:t>
      </w:r>
      <w:r>
        <w:rPr>
          <w:b/>
          <w:bCs/>
        </w:rPr>
        <w:t xml:space="preserve"> </w:t>
      </w:r>
      <w:r>
        <w:rPr>
          <w:b/>
          <w:bCs/>
        </w:rPr>
        <w:t xml:space="preserve">(Arbeider et al. 2020; Dionne 2023; Doutaz et al. 2023)</w:t>
      </w:r>
      <w:r>
        <w:rPr>
          <w:b/>
          <w:bCs/>
        </w:rPr>
        <w:t xml:space="preserve">.</w:t>
      </w:r>
    </w:p>
    <w:p>
      <w:pPr>
        <w:pStyle w:val="BodyText"/>
      </w:pPr>
      <w:r>
        <w:t xml:space="preserve">Stewardship decisions and activities related to salmon are often in response to identifiable threats to salmon health and population status.</w:t>
      </w:r>
    </w:p>
    <w:p>
      <w:pPr>
        <w:pStyle w:val="BodyText"/>
      </w:pPr>
      <w:r>
        <w:t xml:space="preserve">Legislated recovery planning also relies on a description of identified threats</w:t>
      </w:r>
      <w:r>
        <w:t xml:space="preserve"> </w:t>
      </w:r>
      <w:r>
        <w:t xml:space="preserve">(McCune et al. 2013)</w:t>
      </w:r>
      <w:r>
        <w:t xml:space="preserve">.</w:t>
      </w:r>
    </w:p>
    <w:p>
      <w:pPr>
        <w:pStyle w:val="BodyText"/>
      </w:pPr>
      <w:r>
        <w:t xml:space="preserve">Human systems can be categorized as direct threats to biodiversity more specifically for conservation strategies</w:t>
      </w:r>
      <w:r>
        <w:t xml:space="preserve"> </w:t>
      </w:r>
      <w:r>
        <w:t xml:space="preserve">(Salafsky et al. 2008)</w:t>
      </w:r>
      <w:r>
        <w:t xml:space="preserve">.</w:t>
      </w:r>
    </w:p>
    <w:p>
      <w:pPr>
        <w:pStyle w:val="BodyText"/>
      </w:pPr>
      <w:r>
        <w:t xml:space="preserve">**describe the IUCN threat levels and categories -</w:t>
      </w:r>
    </w:p>
    <w:p>
      <w:pPr>
        <w:pStyle w:val="BodyText"/>
      </w:pPr>
      <w:r>
        <w:t xml:space="preserve">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w:t>
      </w:r>
      <w:r>
        <w:t xml:space="preserve"> </w:t>
      </w:r>
      <w:r>
        <w:rPr>
          <w:b/>
          <w:bCs/>
        </w:rPr>
        <w:t xml:space="preserve">already mentioned</w:t>
      </w:r>
    </w:p>
    <w:p>
      <w:pPr>
        <w:pStyle w:val="BodyText"/>
      </w:pPr>
      <w:r>
        <w:t xml:space="preserve">IUCN direct threat categories are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w:t>
      </w:r>
      <w:r>
        <w:t xml:space="preserve"> </w:t>
      </w:r>
      <w:r>
        <w:rPr>
          <w:b/>
          <w:bCs/>
        </w:rPr>
        <w:t xml:space="preserve">already mentioned</w:t>
      </w:r>
    </w:p>
    <w:p>
      <w:pPr>
        <w:pStyle w:val="BodyText"/>
      </w:pPr>
      <w:r>
        <w:t xml:space="preserve">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p>
    <w:p>
      <w:pPr>
        <w:pStyle w:val="BodyText"/>
      </w:pPr>
      <w:r>
        <w:rPr>
          <w:b/>
          <w:bCs/>
        </w:rPr>
        <w:t xml:space="preserve">Level 2 threat classification</w:t>
      </w:r>
      <w:r>
        <w:t xml:space="preserve"> </w:t>
      </w:r>
      <w:r>
        <w:t xml:space="preserve">was used as the finest resolution that could be applied consistently.</w:t>
      </w:r>
    </w:p>
    <w:p>
      <w:pPr>
        <w:numPr>
          <w:ilvl w:val="0"/>
          <w:numId w:val="1004"/>
        </w:numPr>
      </w:pPr>
      <w:r>
        <w:rPr>
          <w:b/>
          <w:bCs/>
        </w:rPr>
        <w:t xml:space="preserve">Explain the levels and hierarchy</w:t>
      </w:r>
    </w:p>
    <w:p>
      <w:pPr>
        <w:numPr>
          <w:ilvl w:val="0"/>
          <w:numId w:val="1004"/>
        </w:numPr>
      </w:pPr>
      <w:r>
        <w:rPr>
          <w:b/>
          <w:bCs/>
        </w:rPr>
        <w:t xml:space="preserve">DG - Not everyone will be familiar with the different threat levels in this framework. Before this sentence, a brief explanation of the threats hierarchy could help the unfamiliar reader.</w:t>
      </w:r>
    </w:p>
    <w:p>
      <w:pPr>
        <w:numPr>
          <w:ilvl w:val="0"/>
          <w:numId w:val="1004"/>
        </w:numPr>
      </w:pPr>
      <w:r>
        <w:rPr>
          <w:b/>
          <w:bCs/>
        </w:rPr>
        <w:t xml:space="preserve">You could point the reader to the original publication of this framework (</w:t>
      </w:r>
      <w:hyperlink r:id="rId24">
        <w:r>
          <w:rPr>
            <w:rStyle w:val="Hyperlink"/>
            <w:b/>
            <w:bCs/>
          </w:rPr>
          <w:t xml:space="preserve">The Society for Conservation Biology</w:t>
        </w:r>
      </w:hyperlink>
      <w:r>
        <w:rPr>
          <w:b/>
          <w:bCs/>
        </w:rPr>
        <w:t xml:space="preserve">), and/or summarize some key information from this paper, such as, “The threat classification hierarchically categorizes threats into three levels.</w:t>
      </w:r>
    </w:p>
    <w:p>
      <w:pPr>
        <w:numPr>
          <w:ilvl w:val="0"/>
          <w:numId w:val="1004"/>
        </w:numPr>
      </w:pPr>
      <w:r>
        <w:rPr>
          <w:b/>
          <w:bCs/>
        </w:rPr>
        <w:t xml:space="preserve">Each level one category (e.g., Agriculture &amp; Aquaculture) is further subdivided into several level two categories (e.g., Annual &amp; Perennial Non-Timber Crops, Marine &amp; Freshwater Aquaculture), and are subsequently into numerous level three and four categories.”</w:t>
      </w:r>
    </w:p>
    <w:p>
      <w:pPr>
        <w:numPr>
          <w:ilvl w:val="0"/>
          <w:numId w:val="1004"/>
        </w:numPr>
      </w:pP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bookmarkEnd w:id="25"/>
    <w:bookmarkStart w:id="30" w:name="management-domain-categories"/>
    <w:p>
      <w:pPr>
        <w:pStyle w:val="Heading1"/>
      </w:pPr>
      <w:r>
        <w:t xml:space="preserve">Management domain categories</w:t>
      </w:r>
    </w:p>
    <w:p>
      <w:pPr>
        <w:pStyle w:val="FirstParagraph"/>
      </w:pPr>
      <w:r>
        <w:rPr>
          <w:b/>
          <w:bCs/>
        </w:rPr>
        <w:t xml:space="preserve">**We haven’t mentioned Management Domains yet before this image!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X9e9523a728308a0d2bfaa4b1ff0f8b364c9693a"/>
    <w:p>
      <w:pPr>
        <w:pStyle w:val="Heading1"/>
      </w:pPr>
      <w:r>
        <w:t xml:space="preserve">Parsing legislations: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5"/>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6"/>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40"/>
    <w:bookmarkStart w:id="45"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7"/>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7"/>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the-lapse-framework-development"/>
    <w:p>
      <w:pPr>
        <w:pStyle w:val="Heading2"/>
      </w:pPr>
      <w:r>
        <w:t xml:space="preserve">The LAPSE framework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8"/>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8"/>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9"/>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0"/>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1"/>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2"/>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2"/>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3"/>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3"/>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4"/>
        </w:numPr>
      </w:pPr>
      <w:r>
        <w:rPr>
          <w:b/>
          <w:bCs/>
        </w:rPr>
        <w:t xml:space="preserve">DG - I suggest adding a column that has the RPA citation that covers each group of DUs, since I don’t see the RPAs cited anywhere else.</w:t>
      </w:r>
    </w:p>
    <w:p>
      <w:pPr>
        <w:numPr>
          <w:ilvl w:val="0"/>
          <w:numId w:val="1014"/>
        </w:numPr>
      </w:pPr>
      <w:r>
        <w:rPr>
          <w:b/>
          <w:bCs/>
        </w:rPr>
        <w:t xml:space="preserve">DG - For consideration: mapping the CUs to their corresponding DUs in this table. The STREAM platform has a crosswalk for this.</w:t>
      </w:r>
    </w:p>
    <w:p>
      <w:pPr>
        <w:numPr>
          <w:ilvl w:val="0"/>
          <w:numId w:val="1014"/>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4"/>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5"/>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6"/>
        </w:numPr>
      </w:pPr>
      <w:r>
        <w:rPr>
          <w:b/>
          <w:bCs/>
        </w:rPr>
        <w:t xml:space="preserve">DG - It looks like the x-axis is organized alphabetically, causing some of the threats in categories 10 and 11 to be up at the top.</w:t>
      </w:r>
    </w:p>
    <w:p>
      <w:pPr>
        <w:numPr>
          <w:ilvl w:val="0"/>
          <w:numId w:val="1016"/>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(2022a)</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(2022a)</w:t>
      </w:r>
      <w:r>
        <w:t xml:space="preserve">]:</w:t>
      </w:r>
    </w:p>
    <w:p>
      <w:pPr>
        <w:numPr>
          <w:ilvl w:val="0"/>
          <w:numId w:val="1017"/>
        </w:numPr>
      </w:pPr>
      <w:r>
        <w:rPr>
          <w:b/>
          <w:bCs/>
        </w:rPr>
        <w:t xml:space="preserve">DG - Suggest using IUCN-CMP throughout if that’s what we’re starting with.</w:t>
      </w:r>
    </w:p>
    <w:p>
      <w:pPr>
        <w:numPr>
          <w:ilvl w:val="0"/>
          <w:numId w:val="1017"/>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7"/>
        </w:numPr>
      </w:pPr>
      <w:r>
        <w:rPr>
          <w:b/>
          <w:bCs/>
        </w:rPr>
        <w:t xml:space="preserve">DG - I suggest just citing the RES Docs instead of the SARs</w:t>
      </w:r>
    </w:p>
    <w:p>
      <w:pPr>
        <w:numPr>
          <w:ilvl w:val="0"/>
          <w:numId w:val="1017"/>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8"/>
        </w:numPr>
      </w:pPr>
      <w:r>
        <w:rPr>
          <w:b/>
          <w:bCs/>
        </w:rPr>
        <w:t xml:space="preserve">DG - Could be helpful to note the different values on the x-axis between this and the next figure</w:t>
      </w:r>
    </w:p>
    <w:p>
      <w:pPr>
        <w:numPr>
          <w:ilvl w:val="0"/>
          <w:numId w:val="1018"/>
        </w:numPr>
      </w:pPr>
      <w:r>
        <w:rPr>
          <w:b/>
          <w:bCs/>
        </w:rPr>
        <w:t xml:space="preserve">Add more description of Big Bar slide</w:t>
      </w:r>
    </w:p>
    <w:p>
      <w:pPr>
        <w:numPr>
          <w:ilvl w:val="0"/>
          <w:numId w:val="1018"/>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19"/>
        </w:numPr>
      </w:pPr>
      <w:r>
        <w:rPr>
          <w:b/>
          <w:bCs/>
        </w:rPr>
        <w:t xml:space="preserve">DG - And 7.3 Other ecosystem modifications</w:t>
      </w:r>
    </w:p>
    <w:p>
      <w:pPr>
        <w:numPr>
          <w:ilvl w:val="0"/>
          <w:numId w:val="1019"/>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0"/>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1"/>
        </w:numPr>
      </w:pPr>
      <w:r>
        <w:rPr>
          <w:b/>
          <w:bCs/>
        </w:rPr>
        <w:t xml:space="preserve">add more description of Bessette Creek</w:t>
      </w:r>
    </w:p>
    <w:p>
      <w:pPr>
        <w:numPr>
          <w:ilvl w:val="0"/>
          <w:numId w:val="1021"/>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1"/>
        </w:numPr>
      </w:pPr>
      <w:r>
        <w:rPr>
          <w:b/>
          <w:bCs/>
        </w:rPr>
        <w:t xml:space="preserve">Comment on the most relevant legislation and why</w:t>
      </w:r>
    </w:p>
    <w:p>
      <w:pPr>
        <w:numPr>
          <w:ilvl w:val="0"/>
          <w:numId w:val="1021"/>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2"/>
        </w:numPr>
      </w:pPr>
      <w:r>
        <w:rPr>
          <w:b/>
          <w:bCs/>
        </w:rPr>
        <w:t xml:space="preserve">The decision maker must consider the environmental flow needs of the stream (as outlined in the EFN Policy).</w:t>
      </w:r>
    </w:p>
    <w:p>
      <w:pPr>
        <w:numPr>
          <w:ilvl w:val="1"/>
          <w:numId w:val="1022"/>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3"/>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8" w:name="references"/>
    <w:p>
      <w:pPr>
        <w:pStyle w:val="Heading1"/>
      </w:pPr>
      <w:r>
        <w:t xml:space="preserve">References</w:t>
      </w:r>
    </w:p>
    <w:bookmarkStart w:id="167"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3"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22">
        <w:r>
          <w:rPr>
            <w:rStyle w:val="Hyperlink"/>
          </w:rPr>
          <w:t xml:space="preserve">https://waves-vagues.dfo-mpo.gc.ca/library-bibliotheque/315577.pdf</w:t>
        </w:r>
      </w:hyperlink>
      <w:r>
        <w:t xml:space="preserve">.</w:t>
      </w:r>
    </w:p>
    <w:bookmarkEnd w:id="123"/>
    <w:bookmarkStart w:id="125"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24">
        <w:r>
          <w:rPr>
            <w:rStyle w:val="Hyperlink"/>
          </w:rPr>
          <w:t xml:space="preserve">https://waves-vagues.dfo-mpo.gc.ca/library-bibliotheque/41031209.pdf</w:t>
        </w:r>
      </w:hyperlink>
      <w:r>
        <w:t xml:space="preserve">.</w:t>
      </w:r>
    </w:p>
    <w:bookmarkEnd w:id="125"/>
    <w:bookmarkStart w:id="127"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26">
        <w:r>
          <w:rPr>
            <w:rStyle w:val="Hyperlink"/>
          </w:rPr>
          <w:t xml:space="preserve">https://www.dfo-mpo.gc.ca/fisheries-peches/ifmp-gmp/salmon-saumon/2024/okanagan-2024-eng.html</w:t>
        </w:r>
      </w:hyperlink>
      <w:r>
        <w:t xml:space="preserve">.</w:t>
      </w:r>
    </w:p>
    <w:bookmarkEnd w:id="127"/>
    <w:bookmarkStart w:id="129"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28">
        <w:r>
          <w:rPr>
            <w:rStyle w:val="Hyperlink"/>
          </w:rPr>
          <w:t xml:space="preserve">https://www.dfo-mpo.gc.ca/reports-rapports/regs/sff-cpd/precautionary-precaution-eng.htm</w:t>
        </w:r>
      </w:hyperlink>
      <w:r>
        <w:t xml:space="preserve">.</w:t>
      </w:r>
    </w:p>
    <w:bookmarkEnd w:id="129"/>
    <w:bookmarkStart w:id="131"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30">
        <w:r>
          <w:rPr>
            <w:rStyle w:val="Hyperlink"/>
          </w:rPr>
          <w:t xml:space="preserve">https://www.pac.dfo-mpo.gc.ca/fm-gp/salmon-saumon/docs/trilat-agreement-accord/declaration-eng.html</w:t>
        </w:r>
      </w:hyperlink>
      <w:r>
        <w:t xml:space="preserve">.</w:t>
      </w:r>
    </w:p>
    <w:bookmarkEnd w:id="131"/>
    <w:bookmarkStart w:id="132"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32"/>
    <w:bookmarkStart w:id="133"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33"/>
    <w:bookmarkStart w:id="134"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34"/>
    <w:bookmarkStart w:id="136"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5">
        <w:r>
          <w:rPr>
            <w:rStyle w:val="Hyperlink"/>
          </w:rPr>
          <w:t xml:space="preserve">https://www.bclaws.gov.bc.ca/civix/document/id/complete/statreg/02069_01</w:t>
        </w:r>
      </w:hyperlink>
      <w:r>
        <w:t xml:space="preserve">.</w:t>
      </w:r>
    </w:p>
    <w:bookmarkEnd w:id="136"/>
    <w:bookmarkStart w:id="138"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7">
        <w:r>
          <w:rPr>
            <w:rStyle w:val="Hyperlink"/>
          </w:rPr>
          <w:t xml:space="preserve">https://waves-vagues.dfo-mpo.gc.ca/library-bibliotheque/40807071.pdf</w:t>
        </w:r>
      </w:hyperlink>
      <w:r>
        <w:t xml:space="preserve">.</w:t>
      </w:r>
    </w:p>
    <w:bookmarkEnd w:id="138"/>
    <w:bookmarkStart w:id="140"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9">
        <w:r>
          <w:rPr>
            <w:rStyle w:val="Hyperlink"/>
          </w:rPr>
          <w:t xml:space="preserve">10.1139/facets-2020-0084</w:t>
        </w:r>
      </w:hyperlink>
      <w:r>
        <w:t xml:space="preserve">.</w:t>
      </w:r>
    </w:p>
    <w:bookmarkEnd w:id="140"/>
    <w:bookmarkStart w:id="141"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41"/>
    <w:bookmarkStart w:id="143"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42">
        <w:r>
          <w:rPr>
            <w:rStyle w:val="Hyperlink"/>
          </w:rPr>
          <w:t xml:space="preserve">10.1016/j.biocon.2013.07.006</w:t>
        </w:r>
      </w:hyperlink>
      <w:r>
        <w:t xml:space="preserve">.</w:t>
      </w:r>
    </w:p>
    <w:bookmarkEnd w:id="143"/>
    <w:bookmarkStart w:id="145"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44">
        <w:r>
          <w:rPr>
            <w:rStyle w:val="Hyperlink"/>
          </w:rPr>
          <w:t xml:space="preserve">https://publications.gc.ca/collections/collection_2021/parl/xc51-1/XC51-1-1-432-5-eng.pdf</w:t>
        </w:r>
      </w:hyperlink>
      <w:r>
        <w:t xml:space="preserve">.</w:t>
      </w:r>
    </w:p>
    <w:bookmarkEnd w:id="145"/>
    <w:bookmarkStart w:id="147"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6">
        <w:r>
          <w:rPr>
            <w:rStyle w:val="Hyperlink"/>
          </w:rPr>
          <w:t xml:space="preserve">https://laws-lois.justice.gc.ca/PDF/F-14.pdf</w:t>
        </w:r>
      </w:hyperlink>
      <w:r>
        <w:t xml:space="preserve">.</w:t>
      </w:r>
    </w:p>
    <w:bookmarkEnd w:id="147"/>
    <w:bookmarkStart w:id="149"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8">
        <w:r>
          <w:rPr>
            <w:rStyle w:val="Hyperlink"/>
          </w:rPr>
          <w:t xml:space="preserve">10.1111/faf.70027</w:t>
        </w:r>
      </w:hyperlink>
      <w:r>
        <w:t xml:space="preserve">.</w:t>
      </w:r>
    </w:p>
    <w:bookmarkEnd w:id="149"/>
    <w:bookmarkStart w:id="151"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50">
        <w:r>
          <w:rPr>
            <w:rStyle w:val="Hyperlink"/>
          </w:rPr>
          <w:t xml:space="preserve">10.1139/cjfas-2017-0127</w:t>
        </w:r>
      </w:hyperlink>
      <w:r>
        <w:t xml:space="preserve">.</w:t>
      </w:r>
    </w:p>
    <w:bookmarkEnd w:id="151"/>
    <w:bookmarkStart w:id="153"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52">
        <w:r>
          <w:rPr>
            <w:rStyle w:val="Hyperlink"/>
          </w:rPr>
          <w:t xml:space="preserve">https://www.bclaws.gov.bc.ca/civix/content/amr/amr/2067365574/?xsl=/templates/browse.xsl</w:t>
        </w:r>
      </w:hyperlink>
      <w:r>
        <w:t xml:space="preserve">.</w:t>
      </w:r>
    </w:p>
    <w:bookmarkEnd w:id="153"/>
    <w:bookmarkStart w:id="155"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54">
        <w:r>
          <w:rPr>
            <w:rStyle w:val="Hyperlink"/>
          </w:rPr>
          <w:t xml:space="preserve">10.1139/facets-2020-0075</w:t>
        </w:r>
      </w:hyperlink>
      <w:r>
        <w:t xml:space="preserve">.</w:t>
      </w:r>
    </w:p>
    <w:bookmarkEnd w:id="155"/>
    <w:bookmarkStart w:id="157"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56">
        <w:r>
          <w:rPr>
            <w:rStyle w:val="Hyperlink"/>
          </w:rPr>
          <w:t xml:space="preserve">10.1111/cobi.14434</w:t>
        </w:r>
      </w:hyperlink>
      <w:r>
        <w:t xml:space="preserve">.</w:t>
      </w:r>
    </w:p>
    <w:bookmarkEnd w:id="157"/>
    <w:bookmarkStart w:id="159"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8">
        <w:r>
          <w:rPr>
            <w:rStyle w:val="Hyperlink"/>
          </w:rPr>
          <w:t xml:space="preserve">10.1111/j.1523-1739.2008.00937.x</w:t>
        </w:r>
      </w:hyperlink>
      <w:r>
        <w:t xml:space="preserve">.</w:t>
      </w:r>
    </w:p>
    <w:bookmarkEnd w:id="159"/>
    <w:bookmarkStart w:id="161"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60">
        <w:r>
          <w:rPr>
            <w:rStyle w:val="Hyperlink"/>
          </w:rPr>
          <w:t xml:space="preserve">10.1139/facets-2022-0095</w:t>
        </w:r>
      </w:hyperlink>
      <w:r>
        <w:t xml:space="preserve">.</w:t>
      </w:r>
    </w:p>
    <w:bookmarkEnd w:id="161"/>
    <w:bookmarkStart w:id="162"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62"/>
    <w:bookmarkStart w:id="164"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63">
        <w:r>
          <w:rPr>
            <w:rStyle w:val="Hyperlink"/>
          </w:rPr>
          <w:t xml:space="preserve">10.1139/facets-2020-0064</w:t>
        </w:r>
      </w:hyperlink>
      <w:r>
        <w:t xml:space="preserve">.</w:t>
      </w:r>
    </w:p>
    <w:bookmarkEnd w:id="164"/>
    <w:bookmarkStart w:id="166"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5">
        <w:r>
          <w:rPr>
            <w:rStyle w:val="Hyperlink"/>
          </w:rPr>
          <w:t xml:space="preserve">10.1139/facets-2024-0348</w:t>
        </w:r>
      </w:hyperlink>
      <w:r>
        <w:t xml:space="preserve">.</w:t>
      </w:r>
    </w:p>
    <w:bookmarkEnd w:id="166"/>
    <w:bookmarkEnd w:id="167"/>
    <w:bookmarkEnd w:id="168"/>
    <w:bookmarkStart w:id="169" w:name="supplementary-material"/>
    <w:p>
      <w:pPr>
        <w:pStyle w:val="Heading1"/>
      </w:pPr>
      <w:r>
        <w:t xml:space="preserve">Supplementary material</w:t>
      </w:r>
    </w:p>
    <w:p>
      <w:pPr>
        <w:pStyle w:val="Compact"/>
        <w:numPr>
          <w:ilvl w:val="0"/>
          <w:numId w:val="1024"/>
        </w:numPr>
      </w:pPr>
      <w:r>
        <w:rPr>
          <w:b/>
          <w:bCs/>
        </w:rPr>
        <w:t xml:space="preserve">Links or downloads for the LAPSE tool materials (app etc.)</w:t>
      </w:r>
    </w:p>
    <w:bookmarkEnd w:id="169"/>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4"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42"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6" Target="https://doi.org/10.1111/cobi.14434" TargetMode="External" /><Relationship Type="http://schemas.openxmlformats.org/officeDocument/2006/relationships/hyperlink" Id="rId148" Target="https://doi.org/10.1111/faf.70027" TargetMode="External" /><Relationship Type="http://schemas.openxmlformats.org/officeDocument/2006/relationships/hyperlink" Id="rId158" Target="https://doi.org/10.1111/j.1523-1739.2008.00937.x" TargetMode="External" /><Relationship Type="http://schemas.openxmlformats.org/officeDocument/2006/relationships/hyperlink" Id="rId150" Target="https://doi.org/10.1139/cjfas-2017-0127" TargetMode="External" /><Relationship Type="http://schemas.openxmlformats.org/officeDocument/2006/relationships/hyperlink" Id="rId163" Target="https://doi.org/10.1139/facets-2020-0064" TargetMode="External" /><Relationship Type="http://schemas.openxmlformats.org/officeDocument/2006/relationships/hyperlink" Id="rId154" Target="https://doi.org/10.1139/facets-2020-0075" TargetMode="External" /><Relationship Type="http://schemas.openxmlformats.org/officeDocument/2006/relationships/hyperlink" Id="rId139" Target="https://doi.org/10.1139/facets-2020-0084" TargetMode="External" /><Relationship Type="http://schemas.openxmlformats.org/officeDocument/2006/relationships/hyperlink" Id="rId160"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65"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6"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44" Target="https://publications.gc.ca/collections/collection_2021/parl/xc51-1/XC51-1-1-432-5-eng.pdf" TargetMode="External" /><Relationship Type="http://schemas.openxmlformats.org/officeDocument/2006/relationships/hyperlink" Id="rId122" Target="https://waves-vagues.dfo-mpo.gc.ca/library-bibliotheque/315577.pdf" TargetMode="External" /><Relationship Type="http://schemas.openxmlformats.org/officeDocument/2006/relationships/hyperlink" Id="rId137" Target="https://waves-vagues.dfo-mpo.gc.ca/library-bibliotheque/40807071.pdf" TargetMode="External" /><Relationship Type="http://schemas.openxmlformats.org/officeDocument/2006/relationships/hyperlink" Id="rId124" Target="https://waves-vagues.dfo-mpo.gc.ca/library-bibliotheque/41031209.pdf" TargetMode="External" /><Relationship Type="http://schemas.openxmlformats.org/officeDocument/2006/relationships/hyperlink" Id="rId152" Target="https://www.bclaws.gov.bc.ca/civix/content/amr/amr/2067365574/?xsl=/templates/browse.xsl" TargetMode="External" /><Relationship Type="http://schemas.openxmlformats.org/officeDocument/2006/relationships/hyperlink" Id="rId135"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26" Target="https://www.dfo-mpo.gc.ca/fisheries-peches/ifmp-gmp/salmon-saumon/2024/okanagan-2024-eng.html" TargetMode="External" /><Relationship Type="http://schemas.openxmlformats.org/officeDocument/2006/relationships/hyperlink" Id="rId128" Target="https://www.dfo-mpo.gc.ca/reports-rapports/regs/sff-cpd/precautionary-precaution-eng.htm"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130"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4"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42"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6" Target="https://doi.org/10.1111/cobi.14434" TargetMode="External" /><Relationship Type="http://schemas.openxmlformats.org/officeDocument/2006/relationships/hyperlink" Id="rId148" Target="https://doi.org/10.1111/faf.70027" TargetMode="External" /><Relationship Type="http://schemas.openxmlformats.org/officeDocument/2006/relationships/hyperlink" Id="rId158" Target="https://doi.org/10.1111/j.1523-1739.2008.00937.x" TargetMode="External" /><Relationship Type="http://schemas.openxmlformats.org/officeDocument/2006/relationships/hyperlink" Id="rId150" Target="https://doi.org/10.1139/cjfas-2017-0127" TargetMode="External" /><Relationship Type="http://schemas.openxmlformats.org/officeDocument/2006/relationships/hyperlink" Id="rId163" Target="https://doi.org/10.1139/facets-2020-0064" TargetMode="External" /><Relationship Type="http://schemas.openxmlformats.org/officeDocument/2006/relationships/hyperlink" Id="rId154" Target="https://doi.org/10.1139/facets-2020-0075" TargetMode="External" /><Relationship Type="http://schemas.openxmlformats.org/officeDocument/2006/relationships/hyperlink" Id="rId139" Target="https://doi.org/10.1139/facets-2020-0084" TargetMode="External" /><Relationship Type="http://schemas.openxmlformats.org/officeDocument/2006/relationships/hyperlink" Id="rId160"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65"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6"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44" Target="https://publications.gc.ca/collections/collection_2021/parl/xc51-1/XC51-1-1-432-5-eng.pdf" TargetMode="External" /><Relationship Type="http://schemas.openxmlformats.org/officeDocument/2006/relationships/hyperlink" Id="rId122" Target="https://waves-vagues.dfo-mpo.gc.ca/library-bibliotheque/315577.pdf" TargetMode="External" /><Relationship Type="http://schemas.openxmlformats.org/officeDocument/2006/relationships/hyperlink" Id="rId137" Target="https://waves-vagues.dfo-mpo.gc.ca/library-bibliotheque/40807071.pdf" TargetMode="External" /><Relationship Type="http://schemas.openxmlformats.org/officeDocument/2006/relationships/hyperlink" Id="rId124" Target="https://waves-vagues.dfo-mpo.gc.ca/library-bibliotheque/41031209.pdf" TargetMode="External" /><Relationship Type="http://schemas.openxmlformats.org/officeDocument/2006/relationships/hyperlink" Id="rId152" Target="https://www.bclaws.gov.bc.ca/civix/content/amr/amr/2067365574/?xsl=/templates/browse.xsl" TargetMode="External" /><Relationship Type="http://schemas.openxmlformats.org/officeDocument/2006/relationships/hyperlink" Id="rId135"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26" Target="https://www.dfo-mpo.gc.ca/fisheries-peches/ifmp-gmp/salmon-saumon/2024/okanagan-2024-eng.html" TargetMode="External" /><Relationship Type="http://schemas.openxmlformats.org/officeDocument/2006/relationships/hyperlink" Id="rId128" Target="https://www.dfo-mpo.gc.ca/reports-rapports/regs/sff-cpd/precautionary-precaution-eng.htm"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130"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2026-01-22T16:56:11Z</dcterms:created>
  <dcterms:modified xsi:type="dcterms:W3CDTF">2026-01-22T16:56:11Z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2026-01-22</vt:lpwstr>
  </property>
  <property fmtid="{D5CDD505-2E9C-101B-9397-08002B2CF9AE}" pid="5" name="language">
    <vt:lpwstr/>
  </property>
  <property fmtid="{D5CDD505-2E9C-101B-9397-08002B2CF9AE}" pid="6" name="output">
    <vt:lpwstr/>
  </property>
</Properties>
</file>