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5.png" ContentType="image/png"/>
  <Override PartName="/word/media/rId69.png" ContentType="image/png"/>
  <Override PartName="/word/media/rId78.png" ContentType="image/png"/>
  <Override PartName="/word/media/rId88.png" ContentType="image/png"/>
  <Override PartName="/word/media/rId31.png" ContentType="image/png"/>
  <Override PartName="/word/media/rId35.png" ContentType="image/png"/>
  <Override PartName="/word/media/rId54.png" ContentType="image/png"/>
  <Override PartName="/word/media/rId49.png" ContentType="image/png"/>
  <Override PartName="/word/media/rId84.png" ContentType="image/png"/>
  <Override PartName="/word/media/rId7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Pacific salmon (</w:t>
      </w:r>
      <w:r>
        <w:rPr>
          <w:i/>
          <w:iCs/>
        </w:rPr>
        <w:t xml:space="preserve">Oncorhynchus</w:t>
      </w:r>
      <w:r>
        <w:t xml:space="preserve"> </w:t>
      </w:r>
      <w:r>
        <w:t xml:space="preserve">spp.) populations across British Columbia, Canada are experiencing widespread declines driven by multiple anthropogenic stressors including habitat degradation, climate change, and overharvest. Addressing these threats requires coordinated action across a fragmented governance landscape where federal jurisdiction over fisheries intersects with provincial authority over freshwater habitat, creating regulatory complexity that impedes effective conservation. Despite the recognized need for integrated stewardship, practitioners often lack accessible frameworks for navigating the legislative architecture governing salmon and their ecosystems. Here, we present the Legislation Applicable to Pacific Salmon and Ecosystems (LAPSE) framework—a systematic process and open-source tool that bridges regulatory language with standardized threat classifications to facilitate evidence-based conservation planning. We accumulated 196 Canadian federal and British Columbian provincial statutes relevant to Pacific salmon stewardship and parsed them into individual clauses using automated HTML extraction. We then developed keyword-matching algorithms to assign clauses to</w:t>
      </w:r>
      <w:r>
        <w:t xml:space="preserve"> </w:t>
      </w:r>
      <w:r>
        <w:t xml:space="preserve">“</w:t>
      </w:r>
      <w:r>
        <w:t xml:space="preserve">management domains</w:t>
      </w:r>
      <w:r>
        <w:t xml:space="preserve">”</w:t>
      </w:r>
      <w:r>
        <w:t xml:space="preserve">—discrete areas of administrative concern aligned with the International Union for Conservation of Nature–Conservation Measures Partnership (IUCN-CMP) Direct Threats Classification. Additionally, we categorized clauses by salmon-specific scope (from direct salmon references to general governance) and clause type (e.g., prohibition, authorization, designation). Our analysis reveals that pollution-related provisions are most prevalent across both jurisdictions, while fisheries management is predominantly federal and water use regulations are predominantly provincial—reflecting a structural disconnect between harvest control and habitat protection. Case studies linking Recovery Potential Assessment threat rankings for endangered designatable units to corresponding legislation demonstrate the framework’s utility for identifying regulatory pathways relevant to specific threats. The LAPSE framework provides salmon stewardship practitioners with navigability of the legal landscape, enabling more informed evaluation of regulatory tools available to address threats and supporting the development of coordinated, inter-jurisdictional recovery strategies.</w:t>
      </w:r>
    </w:p>
    <w:p>
      <w:pPr>
        <w:pStyle w:val="BodyText"/>
      </w:pPr>
      <w:r>
        <w:rPr>
          <w:b/>
          <w:bCs/>
        </w:rPr>
        <w:t xml:space="preserve">Keywords:</w:t>
      </w:r>
      <w:r>
        <w:t xml:space="preserve"> </w:t>
      </w:r>
      <w:r>
        <w:t xml:space="preserve">Pacific salmon, legislation, governance, IUCN-CMP threats, conservation policy, British Columbia, regulatory framework, species at risk</w:t>
      </w:r>
    </w:p>
    <w:bookmarkEnd w:id="20"/>
    <w:bookmarkStart w:id="24" w:name="introduction"/>
    <w:p>
      <w:pPr>
        <w:pStyle w:val="Heading1"/>
      </w:pPr>
      <w:r>
        <w:t xml:space="preserve">Introduction</w:t>
      </w:r>
    </w:p>
    <w:bookmarkStart w:id="21"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1"/>
    <w:bookmarkStart w:id="22"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2"/>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6" name="Picture"/>
            <a:graphic>
              <a:graphicData uri="http://schemas.openxmlformats.org/drawingml/2006/picture">
                <pic:pic>
                  <pic:nvPicPr>
                    <pic:cNvPr descr="../assets/Management%20Domain%20Flowchart.png" id="27" name="Picture"/>
                    <pic:cNvPicPr>
                      <a:picLocks noChangeArrowheads="1" noChangeAspect="1"/>
                    </pic:cNvPicPr>
                  </pic:nvPicPr>
                  <pic:blipFill>
                    <a:blip r:embed="rId2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8" w:name="fig:fig-flowchart-image"/>
      <w:bookmarkEnd w:id="28"/>
      <w:r>
        <w:t xml:space="preserve">Figure 1: Flowchart showing alignment of IUCN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w:t>
      </w:r>
      <w:r>
        <w:t xml:space="preserve"> </w:t>
      </w:r>
      <w:r>
        <w:t xml:space="preserve">“</w:t>
      </w:r>
      <w:r>
        <w:t xml:space="preserve">2. Agriculture &amp; Aquaculture</w:t>
      </w:r>
      <w:r>
        <w:t xml:space="preserve">”</w:t>
      </w:r>
      <w:r>
        <w:t xml:space="preserve"> </w:t>
      </w:r>
      <w:r>
        <w:t xml:space="preserve">and</w:t>
      </w:r>
      <w:r>
        <w:t xml:space="preserve"> </w:t>
      </w:r>
      <w:r>
        <w:t xml:space="preserve">“</w:t>
      </w:r>
      <w:r>
        <w:t xml:space="preserve">8. Invasive / Other Problematic Species, Genes &amp; Pathogens</w:t>
      </w:r>
      <w:r>
        <w:t xml:space="preserve">”</w:t>
      </w:r>
      <w:r>
        <w:t xml:space="preserve">,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9" w:name="tab:management-domain-threat-table"/>
      <w:bookmarkEnd w:id="29"/>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30"/>
    <w:bookmarkStart w:id="48"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9" w:name="tab:legislation-summary-table"/>
      <w:bookmarkEnd w:id="39"/>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5"/>
    <w:bookmarkStart w:id="46"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7"/>
    <w:bookmarkEnd w:id="48"/>
    <w:bookmarkStart w:id="67" w:name="results"/>
    <w:p>
      <w:pPr>
        <w:pStyle w:val="Heading1"/>
      </w:pPr>
      <w:r>
        <w:t xml:space="preserve">Results</w:t>
      </w:r>
    </w:p>
    <w:bookmarkStart w:id="53"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End w:id="53"/>
    <w:bookmarkStart w:id="58"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IUCN-CMP threat category, separated by jurisdiction.</w:t>
      </w:r>
    </w:p>
    <w:bookmarkEnd w:id="58"/>
    <w:bookmarkStart w:id="64"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9" w:name="tab:scope-tally"/>
      <w:bookmarkEnd w:id="59"/>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1" name="Picture"/>
            <a:graphic>
              <a:graphicData uri="http://schemas.openxmlformats.org/drawingml/2006/picture">
                <pic:pic>
                  <pic:nvPicPr>
                    <pic:cNvPr descr="LAPSE_primary_publication_files/figure-docx/section-count-salmon-scope-1.png" id="62" name="Picture"/>
                    <pic:cNvPicPr>
                      <a:picLocks noChangeArrowheads="1" noChangeAspect="1"/>
                    </pic:cNvPicPr>
                  </pic:nvPicPr>
                  <pic:blipFill>
                    <a:blip r:embed="rId6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3" w:name="fig:section-count-salmon-scope"/>
      <w:bookmarkEnd w:id="63"/>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4"/>
    <w:bookmarkStart w:id="66"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6"/>
    <w:bookmarkEnd w:id="67"/>
    <w:bookmarkStart w:id="94"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a population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w:t>
      </w:r>
    </w:p>
    <w:p>
      <w:pPr>
        <w:pStyle w:val="BodyText"/>
      </w:pPr>
      <w:r>
        <w:t xml:space="preserve">Since the RPA population and habitat descriptions, and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68" w:name="tab:du-species-du-name-table"/>
      <w:bookmarkEnd w:id="68"/>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ompact"/>
        <w:numPr>
          <w:ilvl w:val="0"/>
          <w:numId w:val="1003"/>
        </w:numPr>
      </w:pPr>
      <w:r>
        <w:rPr>
          <w:b/>
          <w:bCs/>
        </w:rPr>
        <w:t xml:space="preserve">Dan - thanks for pointing out DU14 and</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This confused me for a bit. So… the table in DFO 2020 shows an</w:t>
      </w:r>
      <w:r>
        <w:rPr>
          <w:b/>
          <w:bCs/>
        </w:rPr>
        <w:t xml:space="preserve"> </w:t>
      </w:r>
      <w:r>
        <w:rPr>
          <w:b/>
          <w:bCs/>
        </w:rPr>
        <w:t xml:space="preserve">“</w:t>
      </w:r>
      <w:r>
        <w:rPr>
          <w:b/>
          <w:bCs/>
        </w:rPr>
        <w:t xml:space="preserve">Extreme-High</w:t>
      </w:r>
      <w:r>
        <w:rPr>
          <w:b/>
          <w:bCs/>
        </w:rPr>
        <w:t xml:space="preserve">”</w:t>
      </w:r>
      <w:r>
        <w:rPr>
          <w:b/>
          <w:bCs/>
        </w:rPr>
        <w:t xml:space="preserve"> </w:t>
      </w:r>
      <w:r>
        <w:rPr>
          <w:b/>
          <w:bCs/>
        </w:rPr>
        <w:t xml:space="preserve">ranking for</w:t>
      </w:r>
      <w:r>
        <w:rPr>
          <w:b/>
          <w:bCs/>
        </w:rPr>
        <w:t xml:space="preserve"> </w:t>
      </w:r>
      <w:r>
        <w:rPr>
          <w:b/>
          <w:bCs/>
        </w:rPr>
        <w:t xml:space="preserve">“</w:t>
      </w:r>
      <w:r>
        <w:rPr>
          <w:b/>
          <w:bCs/>
        </w:rPr>
        <w:t xml:space="preserve">Natural systems modifications (Water management, ecosystems modifications).</w:t>
      </w:r>
      <w:r>
        <w:rPr>
          <w:b/>
          <w:bCs/>
        </w:rPr>
        <w:t xml:space="preserve">”</w:t>
      </w:r>
      <w:r>
        <w:rPr>
          <w:b/>
          <w:bCs/>
        </w:rPr>
        <w:t xml:space="preserve"> </w:t>
      </w:r>
      <w:r>
        <w:rPr>
          <w:b/>
          <w:bCs/>
        </w:rPr>
        <w:t xml:space="preserve">That’s the only place I could figure out where the</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might have come from.</w:t>
      </w:r>
    </w:p>
    <w:p>
      <w:pPr>
        <w:pStyle w:val="Compact"/>
        <w:numPr>
          <w:ilvl w:val="0"/>
          <w:numId w:val="1003"/>
        </w:numPr>
      </w:pPr>
      <w:r>
        <w:rPr>
          <w:b/>
          <w:bCs/>
        </w:rPr>
        <w:t xml:space="preserve">In that same report the</w:t>
      </w:r>
      <w:r>
        <w:rPr>
          <w:b/>
          <w:bCs/>
        </w:rPr>
        <w:t xml:space="preserve"> </w:t>
      </w:r>
      <w:r>
        <w:rPr>
          <w:b/>
          <w:bCs/>
        </w:rPr>
        <w:t xml:space="preserve">“</w:t>
      </w:r>
      <w:r>
        <w:rPr>
          <w:b/>
          <w:bCs/>
        </w:rPr>
        <w:t xml:space="preserve">Ecosystems Modifications</w:t>
      </w:r>
      <w:r>
        <w:rPr>
          <w:b/>
          <w:bCs/>
        </w:rPr>
        <w:t xml:space="preserve">”</w:t>
      </w:r>
      <w:r>
        <w:rPr>
          <w:b/>
          <w:bCs/>
        </w:rPr>
        <w:t xml:space="preserve"> </w:t>
      </w:r>
      <w:r>
        <w:rPr>
          <w:b/>
          <w:bCs/>
        </w:rPr>
        <w:t xml:space="preserve">section says,</w:t>
      </w:r>
      <w:r>
        <w:rPr>
          <w:b/>
          <w:bCs/>
        </w:rPr>
        <w:t xml:space="preserve"> </w:t>
      </w:r>
      <w:r>
        <w:rPr>
          <w:b/>
          <w:bCs/>
        </w:rPr>
        <w:t xml:space="preserve">“</w:t>
      </w:r>
      <w:r>
        <w:rPr>
          <w:b/>
          <w:bCs/>
        </w:rPr>
        <w:t xml:space="preserve">Ecosystems modifications that alter catchment surfaces or increase impervious surfaces can have significant effects on stream temperatures and flow regimes. These activities include water extraction, forestry, wildfires, and development from agricultural, industrial, and residential sectors. Impacts of wildfires are similar to forestry as they alter flow and temperature regimes…</w:t>
      </w:r>
      <w:r>
        <w:rPr>
          <w:b/>
          <w:bCs/>
        </w:rPr>
        <w:t xml:space="preserve">”</w:t>
      </w:r>
    </w:p>
    <w:p>
      <w:pPr>
        <w:pStyle w:val="Compact"/>
        <w:numPr>
          <w:ilvl w:val="0"/>
          <w:numId w:val="1003"/>
        </w:numPr>
      </w:pPr>
      <w:r>
        <w:rPr>
          <w:b/>
          <w:bCs/>
        </w:rPr>
        <w:t xml:space="preserve">In the Water Extraction section it says,</w:t>
      </w:r>
      <w:r>
        <w:rPr>
          <w:b/>
          <w:bCs/>
        </w:rPr>
        <w:t xml:space="preserve"> </w:t>
      </w:r>
      <w:r>
        <w:rPr>
          <w:b/>
          <w:bCs/>
        </w:rPr>
        <w:t xml:space="preserve">“</w:t>
      </w:r>
      <w:r>
        <w:rPr>
          <w:b/>
          <w:bCs/>
        </w:rPr>
        <w:t xml:space="preserve">Water extraction for irrigation and livestock can impact FRC through reduced flows in streams, limiting the wetted area of streams, and potentially increasing water temperatures. Groundwater extraction is of particular concern to…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r>
        <w:rPr>
          <w:b/>
          <w:bCs/>
        </w:rPr>
        <w:t xml:space="preserve">”</w:t>
      </w:r>
    </w:p>
    <w:p>
      <w:pPr>
        <w:pStyle w:val="Compact"/>
        <w:numPr>
          <w:ilvl w:val="0"/>
          <w:numId w:val="1003"/>
        </w:numPr>
      </w:pPr>
      <w:r>
        <w:rPr>
          <w:b/>
          <w:bCs/>
        </w:rPr>
        <w:t xml:space="preserve">But the IUCN - CMP Direct Threats Classification 4.0 doesn’t have a</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that category is now split. Although,</w:t>
      </w:r>
      <w:r>
        <w:rPr>
          <w:b/>
          <w:bCs/>
        </w:rPr>
        <w:t xml:space="preserve"> </w:t>
      </w:r>
      <w:r>
        <w:rPr>
          <w:b/>
          <w:bCs/>
        </w:rPr>
        <w:t xml:space="preserve">“</w:t>
      </w:r>
      <w:r>
        <w:rPr>
          <w:b/>
          <w:bCs/>
        </w:rPr>
        <w:t xml:space="preserve">7.3 Earth &amp; Sediment Management</w:t>
      </w:r>
      <w:r>
        <w:rPr>
          <w:b/>
          <w:bCs/>
        </w:rPr>
        <w:t xml:space="preserve">”</w:t>
      </w:r>
      <w:r>
        <w:rPr>
          <w:b/>
          <w:bCs/>
        </w:rPr>
        <w:t xml:space="preserve"> </w:t>
      </w:r>
      <w:r>
        <w:rPr>
          <w:b/>
          <w:bCs/>
        </w:rPr>
        <w:t xml:space="preserve">could apply to Bessette. This is why I thought that this threat assessment applied more to</w:t>
      </w:r>
      <w:r>
        <w:rPr>
          <w:b/>
          <w:bCs/>
        </w:rPr>
        <w:t xml:space="preserve"> </w:t>
      </w:r>
      <w:r>
        <w:rPr>
          <w:b/>
          <w:bCs/>
        </w:rPr>
        <w:t xml:space="preserve">“</w:t>
      </w:r>
      <w:r>
        <w:rPr>
          <w:b/>
          <w:bCs/>
        </w:rPr>
        <w:t xml:space="preserve">7.2 Dams &amp; Water Management / Use,</w:t>
      </w:r>
      <w:r>
        <w:rPr>
          <w:b/>
          <w:bCs/>
        </w:rPr>
        <w:t xml:space="preserve">”</w:t>
      </w:r>
      <w:r>
        <w:rPr>
          <w:b/>
          <w:bCs/>
        </w:rPr>
        <w:t xml:space="preserve"> </w:t>
      </w:r>
      <w:r>
        <w:rPr>
          <w:b/>
          <w:bCs/>
        </w:rPr>
        <w:t xml:space="preserve">which includes</w:t>
      </w:r>
      <w:r>
        <w:rPr>
          <w:b/>
          <w:bCs/>
        </w:rPr>
        <w:t xml:space="preserve"> </w:t>
      </w:r>
      <w:r>
        <w:rPr>
          <w:b/>
          <w:bCs/>
        </w:rPr>
        <w:t xml:space="preserve">“</w:t>
      </w:r>
      <w:r>
        <w:rPr>
          <w:b/>
          <w:bCs/>
        </w:rPr>
        <w:t xml:space="preserve">dam construction, dam operations, levees and dikes, channelization, highway culverts… surface water withdrawals, groundwater pumping…</w:t>
      </w:r>
      <w:r>
        <w:rPr>
          <w:b/>
          <w:bCs/>
        </w:rPr>
        <w:t xml:space="preserve">”</w:t>
      </w:r>
    </w:p>
    <w:p>
      <w:pPr>
        <w:pStyle w:val="Compact"/>
        <w:numPr>
          <w:ilvl w:val="0"/>
          <w:numId w:val="1003"/>
        </w:numPr>
      </w:pPr>
      <w:r>
        <w:rPr>
          <w:b/>
          <w:bCs/>
        </w:rPr>
        <w:t xml:space="preserve">I’ve also done juvenile Chinook surveys in Bessette years ago, and this description matches my experience of Bessette Creek.</w:t>
      </w:r>
    </w:p>
    <w:p>
      <w:pPr>
        <w:pStyle w:val="Compact"/>
        <w:numPr>
          <w:ilvl w:val="0"/>
          <w:numId w:val="1003"/>
        </w:numPr>
      </w:pPr>
      <w:r>
        <w:rPr>
          <w:b/>
          <w:bCs/>
        </w:rPr>
        <w:t xml:space="preserve">Does that sound correct? Did I miss something, or is there another document I’m missing? It’s great that I double-check these specifics! Thanks for reading more deeply into this!</w:t>
      </w:r>
    </w:p>
    <w:p>
      <w:pPr>
        <w:pStyle w:val="CaptionedFigure"/>
      </w:pPr>
      <w:r>
        <w:drawing>
          <wp:inline>
            <wp:extent cx="5943600" cy="4457699"/>
            <wp:effectExtent b="0" l="0" r="0" t="0"/>
            <wp:docPr descr="Figure 8: Threat ranking categories assigned by IUCN-CMP threat categories for Designatable Units of Pacific salmon assessed through the Recovery Potential Assessment process." title="" id="70" name="Picture"/>
            <a:graphic>
              <a:graphicData uri="http://schemas.openxmlformats.org/drawingml/2006/picture">
                <pic:pic>
                  <pic:nvPicPr>
                    <pic:cNvPr descr="LAPSE_primary_publication_files/figure-docx/du-ranking-heatmap-1.png" id="71" name="Picture"/>
                    <pic:cNvPicPr>
                      <a:picLocks noChangeArrowheads="1" noChangeAspect="1"/>
                    </pic:cNvPicPr>
                  </pic:nvPicPr>
                  <pic:blipFill>
                    <a:blip r:embed="rId6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2" w:name="fig:du-ranking-heatmap"/>
      <w:bookmarkEnd w:id="72"/>
      <w:r>
        <w:t xml:space="preserve">Figure 8: Threat ranking categories assigned by IUCN-CMP threat categories for Designatable Units of Pacific salmon assessed through the Recovery Potential Assessment process.</w:t>
      </w:r>
    </w:p>
    <w:p>
      <w:pPr>
        <w:pStyle w:val="Compact"/>
        <w:numPr>
          <w:ilvl w:val="0"/>
          <w:numId w:val="1004"/>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2"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w:t>
      </w:r>
      <w:r>
        <w:t xml:space="preserve">;</w:t>
      </w:r>
      <w:r>
        <w:t xml:space="preserve"> </w:t>
      </w:r>
      <w:r>
        <w:t xml:space="preserve">DFO (2020)</w:t>
      </w:r>
      <w:r>
        <w:t xml:space="preserve">;</w:t>
      </w:r>
      <w:r>
        <w:t xml:space="preserve"> </w:t>
      </w:r>
      <w:r>
        <w:t xml:space="preserve">Doutaz et al. (2023)</w:t>
      </w:r>
      <w:r>
        <w:t xml:space="preserve">). This ranking was largely due to a monumental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3" w:name="tab:du-extreme-threat-table"/>
      <w:bookmarkEnd w:id="73"/>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was a significant event that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 such as landscape-scale changes and climate change</w:t>
      </w:r>
      <w:r>
        <w:t xml:space="preserve"> </w:t>
      </w:r>
      <w:r>
        <w:t xml:space="preserve">(Doutaz et al. 2023)</w:t>
      </w:r>
      <w:r>
        <w:t xml:space="preserve">. This indirect connection to human activities means that</w:t>
      </w:r>
      <w:r>
        <w:t xml:space="preserve"> </w:t>
      </w:r>
      <w:r>
        <w:t xml:space="preserve">“</w:t>
      </w:r>
      <w:r>
        <w:t xml:space="preserve">10.1 Geological Events</w:t>
      </w:r>
      <w:r>
        <w:t xml:space="preserve">”</w:t>
      </w:r>
      <w:r>
        <w:t xml:space="preserve"> </w:t>
      </w:r>
      <w:r>
        <w:t xml:space="preserve">is not a large category to be matched with regulation. The LAPSE process and tool matched eight pieces of federal and provincial legislation specific to</w:t>
      </w:r>
      <w:r>
        <w:t xml:space="preserve"> </w:t>
      </w:r>
      <w:r>
        <w:t xml:space="preserve">“</w:t>
      </w:r>
      <w:r>
        <w:t xml:space="preserve">10.1 Geological Events</w:t>
      </w:r>
      <w:r>
        <w:t xml:space="preserve">”</w:t>
      </w:r>
      <w:r>
        <w:t xml:space="preserve"> </w:t>
      </w:r>
      <w:r>
        <w:t xml:space="preserve">(Figure</w:t>
      </w:r>
      <w:r>
        <w:t xml:space="preserve"> </w:t>
      </w:r>
      <w:r>
        <w:t xml:space="preserve">6</w:t>
      </w:r>
      <w:r>
        <w:t xml:space="preserve">), largely related to forestry.</w:t>
      </w:r>
    </w:p>
    <w:p>
      <w:pPr>
        <w:pStyle w:val="CaptionedFigure"/>
      </w:pPr>
      <w:r>
        <w:drawing>
          <wp:inline>
            <wp:extent cx="5943600" cy="4457699"/>
            <wp:effectExtent b="0" l="0" r="0" t="0"/>
            <wp:docPr descr="Figure 9: Count of sections by legislation for IUCN threat category ‘10.1 Geological Events’, coloured by jurisdiction." title="" id="75" name="Picture"/>
            <a:graphic>
              <a:graphicData uri="http://schemas.openxmlformats.org/drawingml/2006/picture">
                <pic:pic>
                  <pic:nvPicPr>
                    <pic:cNvPr descr="LAPSE_primary_publication_files/figure-docx/section-count-iucn-geological-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section-count-iucn-geological"/>
      <w:bookmarkEnd w:id="77"/>
      <w:r>
        <w:t xml:space="preserve">Figure 9: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Users of the LAPSE process and tool who might be researching geological events such as landslides can get a list of possibly relevant legislation and will see that this legislation is tied to forestry in British Columbia. As well, the user can see that the nature of the clauses are mostly</w:t>
      </w:r>
      <w:r>
        <w:t xml:space="preserve"> </w:t>
      </w:r>
      <w:r>
        <w:t xml:space="preserve">“</w:t>
      </w:r>
      <w:r>
        <w:t xml:space="preserve">Instruction</w:t>
      </w:r>
      <w:r>
        <w:t xml:space="preserve">”</w:t>
      </w:r>
      <w:r>
        <w:t xml:space="preserve"> </w:t>
      </w:r>
      <w:r>
        <w:t xml:space="preserve">and</w:t>
      </w:r>
      <w:r>
        <w:t xml:space="preserve"> </w:t>
      </w:r>
      <w:r>
        <w:t xml:space="preserve">“</w:t>
      </w:r>
      <w:r>
        <w:t xml:space="preserve">Designation</w:t>
      </w:r>
      <w:r>
        <w:t xml:space="preserve">”</w:t>
      </w:r>
      <w:r>
        <w:t xml:space="preserve"> </w:t>
      </w:r>
      <w:r>
        <w:t xml:space="preserve">(Figure</w:t>
      </w:r>
      <w:r>
        <w:t xml:space="preserve"> </w:t>
      </w:r>
      <w:r>
        <w:t xml:space="preserve">10</w:t>
      </w:r>
      <w:r>
        <w:t xml:space="preserve">). The provincial</w:t>
      </w:r>
      <w:r>
        <w:t xml:space="preserve"> </w:t>
      </w:r>
      <w:r>
        <w:rPr>
          <w:i/>
          <w:iCs/>
        </w:rPr>
        <w:t xml:space="preserve">Forest Planning and Practices Regulation</w:t>
      </w:r>
      <w:r>
        <w:t xml:space="preserve"> </w:t>
      </w:r>
      <w:r>
        <w:t xml:space="preserve">under the</w:t>
      </w:r>
      <w:r>
        <w:t xml:space="preserve"> </w:t>
      </w:r>
      <w:r>
        <w:rPr>
          <w:i/>
          <w:iCs/>
        </w:rPr>
        <w:t xml:space="preserve">Forest and Range Practices Act</w:t>
      </w:r>
      <w:r>
        <w:t xml:space="preserve"> </w:t>
      </w:r>
      <w:r>
        <w:t xml:space="preserve">appears as one of the most relevant statutes specific to landslides. Examples of matched sections include Section 3, Damage to the environment, which states</w:t>
      </w:r>
      <w:r>
        <w:t xml:space="preserve"> </w:t>
      </w:r>
      <w:r>
        <w:t xml:space="preserve">“</w:t>
      </w:r>
      <w:r>
        <w:t xml:space="preserve">(1)For the purpose of section 46 (1) and (1.1)</w:t>
      </w:r>
      <w:r>
        <w:t xml:space="preserve"> </w:t>
      </w:r>
      <w:r>
        <w:rPr>
          <w:i/>
          <w:iCs/>
        </w:rPr>
        <w:t xml:space="preserve">[protection of the environment]</w:t>
      </w:r>
      <w:r>
        <w:t xml:space="preserve"> </w:t>
      </w:r>
      <w:r>
        <w:t xml:space="preserve">of the Act,</w:t>
      </w:r>
      <w:r>
        <w:t xml:space="preserve">”</w:t>
      </w:r>
      <w:r>
        <w:t xml:space="preserve">damage” means any of the following that adversely alters an ecosystem: (a)a landslide…” Section 37, Landslides, states,</w:t>
      </w:r>
      <w:r>
        <w:t xml:space="preserve"> </w:t>
      </w:r>
      <w:r>
        <w:t xml:space="preserve">“</w:t>
      </w:r>
      <w:r>
        <w:t xml:space="preserve">An authorized person who carries out a primary forest activity must ensure that the primary forest activity does not cause a landslide that has a material adverse effect in relation to one or more of the subjects listed in section 149 (1) of the Act.</w:t>
      </w:r>
      <w:r>
        <w:t xml:space="preserve">”</w:t>
      </w:r>
    </w:p>
    <w:p>
      <w:pPr>
        <w:pStyle w:val="CaptionedFigure"/>
      </w:pPr>
      <w:r>
        <w:drawing>
          <wp:inline>
            <wp:extent cx="5943600" cy="2701636"/>
            <wp:effectExtent b="0" l="0" r="0" t="0"/>
            <wp:docPr descr="Figure 10: Section counts by clause type and legislation for IUCN-CMP threat category 10.1 Geological Events. Dot size represents section count." title="" id="79" name="Picture"/>
            <a:graphic>
              <a:graphicData uri="http://schemas.openxmlformats.org/drawingml/2006/picture">
                <pic:pic>
                  <pic:nvPicPr>
                    <pic:cNvPr descr="LAPSE_primary_publication_files/figure-docx/fig-clause-type-geological-events-1.png" id="80" name="Picture"/>
                    <pic:cNvPicPr>
                      <a:picLocks noChangeArrowheads="1" noChangeAspect="1"/>
                    </pic:cNvPicPr>
                  </pic:nvPicPr>
                  <pic:blipFill>
                    <a:blip r:embed="rId78"/>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1" w:name="fig:fig-clause-type-geological-events"/>
      <w:bookmarkEnd w:id="81"/>
      <w:r>
        <w:t xml:space="preserve">Figure 10: Section counts by clause type and legislation for IUCN-CMP threat category 10.1 Geological Events. Dot size represents section count.</w:t>
      </w:r>
    </w:p>
    <w:bookmarkEnd w:id="82"/>
    <w:bookmarkStart w:id="93"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One IUCN-CMP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w:t>
      </w:r>
      <w:r>
        <w:t xml:space="preserve">).</w:t>
      </w:r>
    </w:p>
    <w:p>
      <w:pPr>
        <w:numPr>
          <w:ilvl w:val="0"/>
          <w:numId w:val="1005"/>
        </w:numPr>
      </w:pPr>
      <w:r>
        <w:rPr>
          <w:b/>
          <w:bCs/>
        </w:rPr>
        <w:t xml:space="preserve">DG - And 7.3 Other ecosystem modifications</w:t>
      </w:r>
    </w:p>
    <w:p>
      <w:pPr>
        <w:numPr>
          <w:ilvl w:val="0"/>
          <w:numId w:val="1005"/>
        </w:numPr>
      </w:pPr>
      <w:r>
        <w:rPr>
          <w:b/>
          <w:bCs/>
        </w:rPr>
        <w:t xml:space="preserve">DG - Likewise, this DU spawns in the South Thompson River watershed, so there’s an opportunity to make this description a bit more precise if wanted.</w:t>
      </w:r>
    </w:p>
    <w:p>
      <w:pPr>
        <w:pStyle w:val="TableCaption"/>
      </w:pPr>
      <w:bookmarkStart w:id="83" w:name="tab:du-extreme-high-threat-table"/>
      <w:bookmarkEnd w:id="83"/>
      <w:r>
        <w:t xml:space="preserve">Table 7:</w:t>
      </w:r>
      <w:r>
        <w:t xml:space="preserve"> </w:t>
      </w:r>
      <w:r>
        <w:t xml:space="preserve">Designatable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06"/>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CaptionedFigure"/>
      </w:pPr>
      <w:r>
        <w:drawing>
          <wp:inline>
            <wp:extent cx="5943600" cy="4457699"/>
            <wp:effectExtent b="0" l="0" r="0" t="0"/>
            <wp:docPr descr="Figure 11: Count of sections by legislation for IUCN threat category ‘7.2 Dams &amp; Water Management / Use’, coloured by jurisdiction. Top 15 legislation shown." title="" id="85" name="Picture"/>
            <a:graphic>
              <a:graphicData uri="http://schemas.openxmlformats.org/drawingml/2006/picture">
                <pic:pic>
                  <pic:nvPicPr>
                    <pic:cNvPr descr="LAPSE_primary_publication_files/figure-docx/section-count-iucn-dams-water-1.png" id="86" name="Picture"/>
                    <pic:cNvPicPr>
                      <a:picLocks noChangeArrowheads="1" noChangeAspect="1"/>
                    </pic:cNvPicPr>
                  </pic:nvPicPr>
                  <pic:blipFill>
                    <a:blip r:embed="rId8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87" w:name="fig:section-count-iucn-dams-water"/>
      <w:bookmarkEnd w:id="87"/>
      <w:r>
        <w:t xml:space="preserve">Figure 11: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2701636"/>
            <wp:effectExtent b="0" l="0" r="0" t="0"/>
            <wp:docPr descr="Figure 12: Section counts by clause type and legislation for IUCN-CMP threat category 7.2 Dams &amp; Water Management / Use. Dot size represents section count. Top 15 legislation shown." title="" id="89" name="Picture"/>
            <a:graphic>
              <a:graphicData uri="http://schemas.openxmlformats.org/drawingml/2006/picture">
                <pic:pic>
                  <pic:nvPicPr>
                    <pic:cNvPr descr="LAPSE_primary_publication_files/figure-docx/fig-clause-type-water-use-1.png" id="90" name="Picture"/>
                    <pic:cNvPicPr>
                      <a:picLocks noChangeArrowheads="1" noChangeAspect="1"/>
                    </pic:cNvPicPr>
                  </pic:nvPicPr>
                  <pic:blipFill>
                    <a:blip r:embed="rId88"/>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91" w:name="fig:fig-clause-type-water-use"/>
      <w:bookmarkEnd w:id="91"/>
      <w:r>
        <w:t xml:space="preserve">Figure 12: Section counts by clause type and legislation for IUCN-CMP threat category 7.2 Dams &amp; Water Management / Use. Dot size represents section count. Top 15 legislation shown.</w:t>
      </w:r>
    </w:p>
    <w:p>
      <w:pPr>
        <w:numPr>
          <w:ilvl w:val="0"/>
          <w:numId w:val="1007"/>
        </w:numPr>
      </w:pPr>
      <w:r>
        <w:rPr>
          <w:b/>
          <w:bCs/>
        </w:rPr>
        <w:t xml:space="preserve">add more description of Bessette Creek</w:t>
      </w:r>
    </w:p>
    <w:p>
      <w:pPr>
        <w:numPr>
          <w:ilvl w:val="0"/>
          <w:numId w:val="1007"/>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92">
        <w:r>
          <w:rPr>
            <w:rStyle w:val="Hyperlink"/>
            <w:b/>
            <w:bCs/>
          </w:rPr>
          <w:t xml:space="preserve">Aquatic Report Catalogue</w:t>
        </w:r>
      </w:hyperlink>
    </w:p>
    <w:p>
      <w:pPr>
        <w:numPr>
          <w:ilvl w:val="0"/>
          <w:numId w:val="1007"/>
        </w:numPr>
      </w:pPr>
      <w:r>
        <w:rPr>
          <w:b/>
          <w:bCs/>
        </w:rPr>
        <w:t xml:space="preserve">Comment on the most relevant legislation and why</w:t>
      </w:r>
    </w:p>
    <w:p>
      <w:pPr>
        <w:numPr>
          <w:ilvl w:val="0"/>
          <w:numId w:val="1007"/>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08"/>
        </w:numPr>
      </w:pPr>
      <w:r>
        <w:rPr>
          <w:b/>
          <w:bCs/>
        </w:rPr>
        <w:t xml:space="preserve">The decision maker must consider the environmental flow needs of the stream (as outlined in the EFN Policy).</w:t>
      </w:r>
    </w:p>
    <w:p>
      <w:pPr>
        <w:numPr>
          <w:ilvl w:val="1"/>
          <w:numId w:val="1008"/>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3"/>
    <w:bookmarkEnd w:id="94"/>
    <w:bookmarkStart w:id="95"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IUCN-CMP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5"/>
    <w:bookmarkStart w:id="97"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6"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09"/>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6"/>
    <w:bookmarkEnd w:id="97"/>
    <w:bookmarkStart w:id="183" w:name="references"/>
    <w:p>
      <w:pPr>
        <w:pStyle w:val="Heading1"/>
      </w:pPr>
      <w:r>
        <w:t xml:space="preserve">References</w:t>
      </w:r>
    </w:p>
    <w:bookmarkStart w:id="182" w:name="refs"/>
    <w:bookmarkStart w:id="98"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8"/>
    <w:bookmarkStart w:id="100"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9">
        <w:r>
          <w:rPr>
            <w:rStyle w:val="Hyperlink"/>
          </w:rPr>
          <w:t xml:space="preserve">10.1101/2024.12.01.626233</w:t>
        </w:r>
      </w:hyperlink>
      <w:r>
        <w:t xml:space="preserve">.</w:t>
      </w:r>
    </w:p>
    <w:bookmarkEnd w:id="100"/>
    <w:bookmarkStart w:id="102"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1">
        <w:r>
          <w:rPr>
            <w:rStyle w:val="Hyperlink"/>
          </w:rPr>
          <w:t xml:space="preserve">10.3390/su6096024</w:t>
        </w:r>
      </w:hyperlink>
      <w:r>
        <w:t xml:space="preserve">.</w:t>
      </w:r>
    </w:p>
    <w:bookmarkEnd w:id="102"/>
    <w:bookmarkStart w:id="103"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3"/>
    <w:bookmarkStart w:id="105"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4">
        <w:r>
          <w:rPr>
            <w:rStyle w:val="Hyperlink"/>
          </w:rPr>
          <w:t xml:space="preserve">10.5751/ES-02784-140145</w:t>
        </w:r>
      </w:hyperlink>
      <w:r>
        <w:t xml:space="preserve">.</w:t>
      </w:r>
    </w:p>
    <w:bookmarkEnd w:id="105"/>
    <w:bookmarkStart w:id="107"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6">
        <w:r>
          <w:rPr>
            <w:rStyle w:val="Hyperlink"/>
          </w:rPr>
          <w:t xml:space="preserve">10.1139/facets-2025-0031</w:t>
        </w:r>
      </w:hyperlink>
      <w:r>
        <w:t xml:space="preserve">.</w:t>
      </w:r>
    </w:p>
    <w:bookmarkEnd w:id="107"/>
    <w:bookmarkStart w:id="109"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8">
        <w:r>
          <w:rPr>
            <w:rStyle w:val="Hyperlink"/>
          </w:rPr>
          <w:t xml:space="preserve">10.3233/EPL-2002-32_5_13</w:t>
        </w:r>
      </w:hyperlink>
      <w:r>
        <w:t xml:space="preserve">.</w:t>
      </w:r>
    </w:p>
    <w:bookmarkEnd w:id="109"/>
    <w:bookmarkStart w:id="111"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10">
        <w:r>
          <w:rPr>
            <w:rStyle w:val="Hyperlink"/>
          </w:rPr>
          <w:t xml:space="preserve">https://www.canlii.org/</w:t>
        </w:r>
      </w:hyperlink>
      <w:r>
        <w:t xml:space="preserve"> </w:t>
      </w:r>
      <w:r>
        <w:t xml:space="preserve">[accessed 18 December 2025].</w:t>
      </w:r>
    </w:p>
    <w:bookmarkEnd w:id="111"/>
    <w:bookmarkStart w:id="113"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2">
        <w:r>
          <w:rPr>
            <w:rStyle w:val="Hyperlink"/>
          </w:rPr>
          <w:t xml:space="preserve">10.1111/1365-2664.14239</w:t>
        </w:r>
      </w:hyperlink>
      <w:r>
        <w:t xml:space="preserve">.</w:t>
      </w:r>
    </w:p>
    <w:bookmarkEnd w:id="113"/>
    <w:bookmarkStart w:id="115"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4">
        <w:r>
          <w:rPr>
            <w:rStyle w:val="Hyperlink"/>
          </w:rPr>
          <w:t xml:space="preserve">https://publications.gc.ca/collections/collection_2012/bcp-pco/CP32-93-2012-3-eng.pdf</w:t>
        </w:r>
      </w:hyperlink>
      <w:r>
        <w:t xml:space="preserve">.</w:t>
      </w:r>
    </w:p>
    <w:bookmarkEnd w:id="115"/>
    <w:bookmarkStart w:id="116"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6"/>
    <w:bookmarkStart w:id="118"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17">
        <w:r>
          <w:rPr>
            <w:rStyle w:val="Hyperlink"/>
          </w:rPr>
          <w:t xml:space="preserve">https://cosewic.ca/index.php/en/reports/preparing-status-reports/guidelines-recognizing-designatable-units.html</w:t>
        </w:r>
      </w:hyperlink>
      <w:r>
        <w:t xml:space="preserve">.</w:t>
      </w:r>
    </w:p>
    <w:bookmarkEnd w:id="118"/>
    <w:bookmarkStart w:id="120"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9">
        <w:r>
          <w:rPr>
            <w:rStyle w:val="Hyperlink"/>
          </w:rPr>
          <w:t xml:space="preserve">10.1016/j.tree.2014.12.004</w:t>
        </w:r>
      </w:hyperlink>
      <w:r>
        <w:t xml:space="preserve">.</w:t>
      </w:r>
    </w:p>
    <w:bookmarkEnd w:id="120"/>
    <w:bookmarkStart w:id="122"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1">
        <w:r>
          <w:rPr>
            <w:rStyle w:val="Hyperlink"/>
          </w:rPr>
          <w:t xml:space="preserve">10.1139/facets-2023-0204</w:t>
        </w:r>
      </w:hyperlink>
      <w:r>
        <w:t xml:space="preserve">.</w:t>
      </w:r>
    </w:p>
    <w:bookmarkEnd w:id="122"/>
    <w:bookmarkStart w:id="124"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3">
        <w:r>
          <w:rPr>
            <w:rStyle w:val="Hyperlink"/>
          </w:rPr>
          <w:t xml:space="preserve">https://www.justice.gc.ca/eng/rp-pr/csj-sjc/legis-redact/legistics/p3p1.html</w:t>
        </w:r>
      </w:hyperlink>
      <w:r>
        <w:t xml:space="preserve"> </w:t>
      </w:r>
      <w:r>
        <w:t xml:space="preserve">[accessed 18 December 2025].</w:t>
      </w:r>
    </w:p>
    <w:bookmarkEnd w:id="124"/>
    <w:bookmarkStart w:id="126"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5">
        <w:r>
          <w:rPr>
            <w:rStyle w:val="Hyperlink"/>
          </w:rPr>
          <w:t xml:space="preserve">https://laws-lois.justice.gc.ca/PDF/tops/eng/TOPS.pdf</w:t>
        </w:r>
      </w:hyperlink>
      <w:r>
        <w:t xml:space="preserve"> </w:t>
      </w:r>
      <w:r>
        <w:t xml:space="preserve">[accessed 13 January 2026].</w:t>
      </w:r>
    </w:p>
    <w:bookmarkEnd w:id="126"/>
    <w:bookmarkStart w:id="128"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7">
        <w:r>
          <w:rPr>
            <w:rStyle w:val="Hyperlink"/>
          </w:rPr>
          <w:t xml:space="preserve">https://waves-vagues.dfo-mpo.gc.ca/library-bibliotheque/315577.pdf</w:t>
        </w:r>
      </w:hyperlink>
      <w:r>
        <w:t xml:space="preserve">.</w:t>
      </w:r>
    </w:p>
    <w:bookmarkEnd w:id="128"/>
    <w:bookmarkStart w:id="129"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29"/>
    <w:bookmarkStart w:id="131"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30">
        <w:r>
          <w:rPr>
            <w:rStyle w:val="Hyperlink"/>
          </w:rPr>
          <w:t xml:space="preserve">https://publications.gc.ca/collections/collection_2020/mpo-dfo/fs70-6/Fs70-6-2020-023-eng.pdf</w:t>
        </w:r>
      </w:hyperlink>
      <w:r>
        <w:t xml:space="preserve">.</w:t>
      </w:r>
    </w:p>
    <w:bookmarkEnd w:id="131"/>
    <w:bookmarkStart w:id="133"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2">
        <w:r>
          <w:rPr>
            <w:rStyle w:val="Hyperlink"/>
          </w:rPr>
          <w:t xml:space="preserve">https://waves-vagues.dfo-mpo.gc.ca/library-bibliotheque/41031209.pdf</w:t>
        </w:r>
      </w:hyperlink>
      <w:r>
        <w:t xml:space="preserve">.</w:t>
      </w:r>
    </w:p>
    <w:bookmarkEnd w:id="133"/>
    <w:bookmarkStart w:id="135"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4">
        <w:r>
          <w:rPr>
            <w:rStyle w:val="Hyperlink"/>
          </w:rPr>
          <w:t xml:space="preserve">https://www.dfo-mpo.gc.ca/fisheries-peches/ifmp-gmp/salmon-saumon/2024/okanagan-2024-eng.html</w:t>
        </w:r>
      </w:hyperlink>
      <w:r>
        <w:t xml:space="preserve">.</w:t>
      </w:r>
    </w:p>
    <w:bookmarkEnd w:id="135"/>
    <w:bookmarkStart w:id="137"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6">
        <w:r>
          <w:rPr>
            <w:rStyle w:val="Hyperlink"/>
          </w:rPr>
          <w:t xml:space="preserve">https://www.dfo-mpo.gc.ca/reports-rapports/regs/sff-cpd/precautionary-precaution-eng.htm</w:t>
        </w:r>
      </w:hyperlink>
      <w:r>
        <w:t xml:space="preserve">.</w:t>
      </w:r>
    </w:p>
    <w:bookmarkEnd w:id="137"/>
    <w:bookmarkStart w:id="139"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38">
        <w:r>
          <w:rPr>
            <w:rStyle w:val="Hyperlink"/>
          </w:rPr>
          <w:t xml:space="preserve">https://www.pac.dfo-mpo.gc.ca/fm-gp/salmon-saumon/docs/trilat-agreement-accord/declaration-eng.html</w:t>
        </w:r>
      </w:hyperlink>
      <w:r>
        <w:t xml:space="preserve">.</w:t>
      </w:r>
    </w:p>
    <w:bookmarkEnd w:id="139"/>
    <w:bookmarkStart w:id="140"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40"/>
    <w:bookmarkStart w:id="141"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1"/>
    <w:bookmarkStart w:id="142"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2"/>
    <w:bookmarkStart w:id="144"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3">
        <w:r>
          <w:rPr>
            <w:rStyle w:val="Hyperlink"/>
          </w:rPr>
          <w:t xml:space="preserve">https://www.bclaws.gov.bc.ca/civix/document/id/complete/statreg/02069_01</w:t>
        </w:r>
      </w:hyperlink>
      <w:r>
        <w:t xml:space="preserve">.</w:t>
      </w:r>
    </w:p>
    <w:bookmarkEnd w:id="144"/>
    <w:bookmarkStart w:id="146"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5">
        <w:r>
          <w:rPr>
            <w:rStyle w:val="Hyperlink"/>
          </w:rPr>
          <w:t xml:space="preserve">https://waves-vagues.dfo-mpo.gc.ca/library-bibliotheque/40807071.pdf</w:t>
        </w:r>
      </w:hyperlink>
      <w:r>
        <w:t xml:space="preserve">.</w:t>
      </w:r>
    </w:p>
    <w:bookmarkEnd w:id="146"/>
    <w:bookmarkStart w:id="148"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47">
        <w:r>
          <w:rPr>
            <w:rStyle w:val="Hyperlink"/>
          </w:rPr>
          <w:t xml:space="preserve">10.1139/facets-2020-0084</w:t>
        </w:r>
      </w:hyperlink>
      <w:r>
        <w:t xml:space="preserve">.</w:t>
      </w:r>
    </w:p>
    <w:bookmarkEnd w:id="148"/>
    <w:bookmarkStart w:id="149"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49"/>
    <w:bookmarkStart w:id="150"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50"/>
    <w:bookmarkStart w:id="152"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1">
        <w:r>
          <w:rPr>
            <w:rStyle w:val="Hyperlink"/>
          </w:rPr>
          <w:t xml:space="preserve">10.1016/j.biocon.2013.07.006</w:t>
        </w:r>
      </w:hyperlink>
      <w:r>
        <w:t xml:space="preserve">.</w:t>
      </w:r>
    </w:p>
    <w:bookmarkEnd w:id="152"/>
    <w:bookmarkStart w:id="154"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3">
        <w:r>
          <w:rPr>
            <w:rStyle w:val="Hyperlink"/>
          </w:rPr>
          <w:t xml:space="preserve">https://publications.gc.ca/collections/collection_2021/parl/xc51-1/XC51-1-1-432-5-eng.pdf</w:t>
        </w:r>
      </w:hyperlink>
      <w:r>
        <w:t xml:space="preserve">.</w:t>
      </w:r>
    </w:p>
    <w:bookmarkEnd w:id="154"/>
    <w:bookmarkStart w:id="156"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55">
        <w:r>
          <w:rPr>
            <w:rStyle w:val="Hyperlink"/>
          </w:rPr>
          <w:t xml:space="preserve">https://laws-lois.justice.gc.ca/PDF/F-14.pdf</w:t>
        </w:r>
      </w:hyperlink>
      <w:r>
        <w:t xml:space="preserve">.</w:t>
      </w:r>
    </w:p>
    <w:bookmarkEnd w:id="156"/>
    <w:bookmarkStart w:id="158"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57">
        <w:r>
          <w:rPr>
            <w:rStyle w:val="Hyperlink"/>
          </w:rPr>
          <w:t xml:space="preserve">10.1111/faf.70027</w:t>
        </w:r>
      </w:hyperlink>
      <w:r>
        <w:t xml:space="preserve">.</w:t>
      </w:r>
    </w:p>
    <w:bookmarkEnd w:id="158"/>
    <w:bookmarkStart w:id="160"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9">
        <w:r>
          <w:rPr>
            <w:rStyle w:val="Hyperlink"/>
          </w:rPr>
          <w:t xml:space="preserve">10.1139/cjfas-2017-0127</w:t>
        </w:r>
      </w:hyperlink>
      <w:r>
        <w:t xml:space="preserve">.</w:t>
      </w:r>
    </w:p>
    <w:bookmarkEnd w:id="160"/>
    <w:bookmarkStart w:id="162"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1">
        <w:r>
          <w:rPr>
            <w:rStyle w:val="Hyperlink"/>
          </w:rPr>
          <w:t xml:space="preserve">https://www.bclaws.gov.bc.ca/civix/content/amr/amr/2067365574/?xsl=/templates/browse.xsl</w:t>
        </w:r>
      </w:hyperlink>
      <w:r>
        <w:t xml:space="preserve">.</w:t>
      </w:r>
    </w:p>
    <w:bookmarkEnd w:id="162"/>
    <w:bookmarkStart w:id="164"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3">
        <w:r>
          <w:rPr>
            <w:rStyle w:val="Hyperlink"/>
          </w:rPr>
          <w:t xml:space="preserve">https://publications.gc.ca/collections/collection_2018/mpo-dfo/fs70-6/Fs70-6-2018-042-eng.pdf</w:t>
        </w:r>
      </w:hyperlink>
      <w:r>
        <w:t xml:space="preserve">.</w:t>
      </w:r>
    </w:p>
    <w:bookmarkEnd w:id="164"/>
    <w:bookmarkStart w:id="166"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65">
        <w:r>
          <w:rPr>
            <w:rStyle w:val="Hyperlink"/>
          </w:rPr>
          <w:t xml:space="preserve">10.1139/facets-2020-0075</w:t>
        </w:r>
      </w:hyperlink>
      <w:r>
        <w:t xml:space="preserve">.</w:t>
      </w:r>
    </w:p>
    <w:bookmarkEnd w:id="166"/>
    <w:bookmarkStart w:id="168"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67">
        <w:r>
          <w:rPr>
            <w:rStyle w:val="Hyperlink"/>
          </w:rPr>
          <w:t xml:space="preserve">10.1111/cobi.14434</w:t>
        </w:r>
      </w:hyperlink>
      <w:r>
        <w:t xml:space="preserve">.</w:t>
      </w:r>
    </w:p>
    <w:bookmarkEnd w:id="168"/>
    <w:bookmarkStart w:id="170"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69">
        <w:r>
          <w:rPr>
            <w:rStyle w:val="Hyperlink"/>
          </w:rPr>
          <w:t xml:space="preserve">10.1111/j.1523-1739.2008.00937.x</w:t>
        </w:r>
      </w:hyperlink>
      <w:r>
        <w:t xml:space="preserve">.</w:t>
      </w:r>
    </w:p>
    <w:bookmarkEnd w:id="170"/>
    <w:bookmarkStart w:id="172"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1">
        <w:r>
          <w:rPr>
            <w:rStyle w:val="Hyperlink"/>
          </w:rPr>
          <w:t xml:space="preserve">10.1139/facets-2022-0095</w:t>
        </w:r>
      </w:hyperlink>
      <w:r>
        <w:t xml:space="preserve">.</w:t>
      </w:r>
    </w:p>
    <w:bookmarkEnd w:id="172"/>
    <w:bookmarkStart w:id="173"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3"/>
    <w:bookmarkStart w:id="175"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74">
        <w:r>
          <w:rPr>
            <w:rStyle w:val="Hyperlink"/>
          </w:rPr>
          <w:t xml:space="preserve">10.1139/facets-2020-0064</w:t>
        </w:r>
      </w:hyperlink>
      <w:r>
        <w:t xml:space="preserve">.</w:t>
      </w:r>
    </w:p>
    <w:bookmarkEnd w:id="175"/>
    <w:bookmarkStart w:id="177"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76">
        <w:r>
          <w:rPr>
            <w:rStyle w:val="Hyperlink"/>
          </w:rPr>
          <w:t xml:space="preserve">10.1139/facets-2024-0348</w:t>
        </w:r>
      </w:hyperlink>
      <w:r>
        <w:t xml:space="preserve">.</w:t>
      </w:r>
    </w:p>
    <w:bookmarkEnd w:id="177"/>
    <w:bookmarkStart w:id="179"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78">
        <w:r>
          <w:rPr>
            <w:rStyle w:val="Hyperlink"/>
          </w:rPr>
          <w:t xml:space="preserve">10.32614/CRAN.package.rvest</w:t>
        </w:r>
      </w:hyperlink>
      <w:r>
        <w:t xml:space="preserve">.</w:t>
      </w:r>
    </w:p>
    <w:bookmarkEnd w:id="179"/>
    <w:bookmarkStart w:id="181"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80">
        <w:r>
          <w:rPr>
            <w:rStyle w:val="Hyperlink"/>
          </w:rPr>
          <w:t xml:space="preserve">10.32614/CRAN.package.udpipe</w:t>
        </w:r>
      </w:hyperlink>
      <w:r>
        <w:t xml:space="preserve">.</w:t>
      </w:r>
    </w:p>
    <w:bookmarkEnd w:id="181"/>
    <w:bookmarkEnd w:id="182"/>
    <w:bookmarkEnd w:id="183"/>
    <w:bookmarkStart w:id="184" w:name="supplementary-material"/>
    <w:p>
      <w:pPr>
        <w:pStyle w:val="Heading1"/>
      </w:pPr>
      <w:r>
        <w:t xml:space="preserve">Supplementary material</w:t>
      </w:r>
    </w:p>
    <w:p>
      <w:pPr>
        <w:pStyle w:val="Compact"/>
        <w:numPr>
          <w:ilvl w:val="0"/>
          <w:numId w:val="1010"/>
        </w:numPr>
      </w:pPr>
      <w:r>
        <w:rPr>
          <w:b/>
          <w:bCs/>
        </w:rPr>
        <w:t xml:space="preserve">Links or downloads for the LAPSE tool materials (app etc.)</w:t>
      </w:r>
    </w:p>
    <w:bookmarkEnd w:id="184"/>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5" Target="media/rId2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88" Target="media/rId8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84" Target="media/rId84.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hyperlink" Id="rId92" Target="https://a100.gov.bc.ca/pub/acat/public/viewReport.do?reportId=59109" TargetMode="External" /><Relationship Type="http://schemas.openxmlformats.org/officeDocument/2006/relationships/hyperlink" Id="rId117" Target="https://cosewic.ca/index.php/en/reports/preparing-status-reports/guidelines-recognizing-designatable-units.html" TargetMode="External" /><Relationship Type="http://schemas.openxmlformats.org/officeDocument/2006/relationships/hyperlink" Id="rId151" Target="https://doi.org/10.1016/j.biocon.2013.07.006" TargetMode="External" /><Relationship Type="http://schemas.openxmlformats.org/officeDocument/2006/relationships/hyperlink" Id="rId119" Target="https://doi.org/10.1016/j.tree.2014.12.004" TargetMode="External" /><Relationship Type="http://schemas.openxmlformats.org/officeDocument/2006/relationships/hyperlink" Id="rId99" Target="https://doi.org/10.1101/2024.12.01.626233" TargetMode="External" /><Relationship Type="http://schemas.openxmlformats.org/officeDocument/2006/relationships/hyperlink" Id="rId112" Target="https://doi.org/10.1111/1365-2664.14239" TargetMode="External" /><Relationship Type="http://schemas.openxmlformats.org/officeDocument/2006/relationships/hyperlink" Id="rId167" Target="https://doi.org/10.1111/cobi.14434" TargetMode="External" /><Relationship Type="http://schemas.openxmlformats.org/officeDocument/2006/relationships/hyperlink" Id="rId157" Target="https://doi.org/10.1111/faf.70027" TargetMode="External" /><Relationship Type="http://schemas.openxmlformats.org/officeDocument/2006/relationships/hyperlink" Id="rId169" Target="https://doi.org/10.1111/j.1523-1739.2008.00937.x" TargetMode="External" /><Relationship Type="http://schemas.openxmlformats.org/officeDocument/2006/relationships/hyperlink" Id="rId159" Target="https://doi.org/10.1139/cjfas-2017-0127" TargetMode="External" /><Relationship Type="http://schemas.openxmlformats.org/officeDocument/2006/relationships/hyperlink" Id="rId174" Target="https://doi.org/10.1139/facets-2020-0064" TargetMode="External" /><Relationship Type="http://schemas.openxmlformats.org/officeDocument/2006/relationships/hyperlink" Id="rId165" Target="https://doi.org/10.1139/facets-2020-0075" TargetMode="External" /><Relationship Type="http://schemas.openxmlformats.org/officeDocument/2006/relationships/hyperlink" Id="rId147" Target="https://doi.org/10.1139/facets-2020-0084" TargetMode="External" /><Relationship Type="http://schemas.openxmlformats.org/officeDocument/2006/relationships/hyperlink" Id="rId171" Target="https://doi.org/10.1139/facets-2022-0095" TargetMode="External" /><Relationship Type="http://schemas.openxmlformats.org/officeDocument/2006/relationships/hyperlink" Id="rId121" Target="https://doi.org/10.1139/facets-2023-0204" TargetMode="External" /><Relationship Type="http://schemas.openxmlformats.org/officeDocument/2006/relationships/hyperlink" Id="rId176" Target="https://doi.org/10.1139/facets-2024-0348" TargetMode="External" /><Relationship Type="http://schemas.openxmlformats.org/officeDocument/2006/relationships/hyperlink" Id="rId106" Target="https://doi.org/10.1139/facets-2025-0031" TargetMode="External" /><Relationship Type="http://schemas.openxmlformats.org/officeDocument/2006/relationships/hyperlink" Id="rId108" Target="https://doi.org/10.3233/EPL-2002-32_5_13" TargetMode="External" /><Relationship Type="http://schemas.openxmlformats.org/officeDocument/2006/relationships/hyperlink" Id="rId178" Target="https://doi.org/10.32614/CRAN.package.rvest" TargetMode="External" /><Relationship Type="http://schemas.openxmlformats.org/officeDocument/2006/relationships/hyperlink" Id="rId180" Target="https://doi.org/10.32614/CRAN.package.udpipe" TargetMode="External" /><Relationship Type="http://schemas.openxmlformats.org/officeDocument/2006/relationships/hyperlink" Id="rId101" Target="https://doi.org/10.3390/su6096024" TargetMode="External" /><Relationship Type="http://schemas.openxmlformats.org/officeDocument/2006/relationships/hyperlink" Id="rId104" Target="https://doi.org/10.5751/ES-02784-140145" TargetMode="External" /><Relationship Type="http://schemas.openxmlformats.org/officeDocument/2006/relationships/hyperlink" Id="rId155" Target="https://laws-lois.justice.gc.ca/PDF/F-14.pdf" TargetMode="External" /><Relationship Type="http://schemas.openxmlformats.org/officeDocument/2006/relationships/hyperlink" Id="rId125" Target="https://laws-lois.justice.gc.ca/PDF/tops/eng/TOPS.pdf" TargetMode="External" /><Relationship Type="http://schemas.openxmlformats.org/officeDocument/2006/relationships/hyperlink" Id="rId114" Target="https://publications.gc.ca/collections/collection_2012/bcp-pco/CP32-93-2012-3-eng.pdf" TargetMode="External" /><Relationship Type="http://schemas.openxmlformats.org/officeDocument/2006/relationships/hyperlink" Id="rId163" Target="https://publications.gc.ca/collections/collection_2018/mpo-dfo/fs70-6/Fs70-6-2018-042-eng.pdf" TargetMode="External" /><Relationship Type="http://schemas.openxmlformats.org/officeDocument/2006/relationships/hyperlink" Id="rId130" Target="https://publications.gc.ca/collections/collection_2020/mpo-dfo/fs70-6/Fs70-6-2020-023-eng.pdf" TargetMode="External" /><Relationship Type="http://schemas.openxmlformats.org/officeDocument/2006/relationships/hyperlink" Id="rId153" Target="https://publications.gc.ca/collections/collection_2021/parl/xc51-1/XC51-1-1-432-5-eng.pdf" TargetMode="External" /><Relationship Type="http://schemas.openxmlformats.org/officeDocument/2006/relationships/hyperlink" Id="rId127" Target="https://waves-vagues.dfo-mpo.gc.ca/library-bibliotheque/315577.pdf" TargetMode="External" /><Relationship Type="http://schemas.openxmlformats.org/officeDocument/2006/relationships/hyperlink" Id="rId145" Target="https://waves-vagues.dfo-mpo.gc.ca/library-bibliotheque/40807071.pdf" TargetMode="External" /><Relationship Type="http://schemas.openxmlformats.org/officeDocument/2006/relationships/hyperlink" Id="rId132" Target="https://waves-vagues.dfo-mpo.gc.ca/library-bibliotheque/41031209.pdf" TargetMode="External" /><Relationship Type="http://schemas.openxmlformats.org/officeDocument/2006/relationships/hyperlink" Id="rId161" Target="https://www.bclaws.gov.bc.ca/civix/content/amr/amr/2067365574/?xsl=/templates/browse.xsl" TargetMode="External" /><Relationship Type="http://schemas.openxmlformats.org/officeDocument/2006/relationships/hyperlink" Id="rId143" Target="https://www.bclaws.gov.bc.ca/civix/document/id/complete/statreg/02069_01" TargetMode="External" /><Relationship Type="http://schemas.openxmlformats.org/officeDocument/2006/relationships/hyperlink" Id="rId110" Target="https://www.canlii.org/" TargetMode="External" /><Relationship Type="http://schemas.openxmlformats.org/officeDocument/2006/relationships/hyperlink" Id="rId134" Target="https://www.dfo-mpo.gc.ca/fisheries-peches/ifmp-gmp/salmon-saumon/2024/okanagan-2024-eng.html" TargetMode="External" /><Relationship Type="http://schemas.openxmlformats.org/officeDocument/2006/relationships/hyperlink" Id="rId136" Target="https://www.dfo-mpo.gc.ca/reports-rapports/regs/sff-cpd/precautionary-precaution-eng.htm" TargetMode="External" /><Relationship Type="http://schemas.openxmlformats.org/officeDocument/2006/relationships/hyperlink" Id="rId123" Target="https://www.justice.gc.ca/eng/rp-pr/csj-sjc/legis-redact/legistics/p3p1.html" TargetMode="External" /><Relationship Type="http://schemas.openxmlformats.org/officeDocument/2006/relationships/hyperlink" Id="rId138"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92" Target="https://a100.gov.bc.ca/pub/acat/public/viewReport.do?reportId=59109" TargetMode="External" /><Relationship Type="http://schemas.openxmlformats.org/officeDocument/2006/relationships/hyperlink" Id="rId117" Target="https://cosewic.ca/index.php/en/reports/preparing-status-reports/guidelines-recognizing-designatable-units.html" TargetMode="External" /><Relationship Type="http://schemas.openxmlformats.org/officeDocument/2006/relationships/hyperlink" Id="rId151" Target="https://doi.org/10.1016/j.biocon.2013.07.006" TargetMode="External" /><Relationship Type="http://schemas.openxmlformats.org/officeDocument/2006/relationships/hyperlink" Id="rId119" Target="https://doi.org/10.1016/j.tree.2014.12.004" TargetMode="External" /><Relationship Type="http://schemas.openxmlformats.org/officeDocument/2006/relationships/hyperlink" Id="rId99" Target="https://doi.org/10.1101/2024.12.01.626233" TargetMode="External" /><Relationship Type="http://schemas.openxmlformats.org/officeDocument/2006/relationships/hyperlink" Id="rId112" Target="https://doi.org/10.1111/1365-2664.14239" TargetMode="External" /><Relationship Type="http://schemas.openxmlformats.org/officeDocument/2006/relationships/hyperlink" Id="rId167" Target="https://doi.org/10.1111/cobi.14434" TargetMode="External" /><Relationship Type="http://schemas.openxmlformats.org/officeDocument/2006/relationships/hyperlink" Id="rId157" Target="https://doi.org/10.1111/faf.70027" TargetMode="External" /><Relationship Type="http://schemas.openxmlformats.org/officeDocument/2006/relationships/hyperlink" Id="rId169" Target="https://doi.org/10.1111/j.1523-1739.2008.00937.x" TargetMode="External" /><Relationship Type="http://schemas.openxmlformats.org/officeDocument/2006/relationships/hyperlink" Id="rId159" Target="https://doi.org/10.1139/cjfas-2017-0127" TargetMode="External" /><Relationship Type="http://schemas.openxmlformats.org/officeDocument/2006/relationships/hyperlink" Id="rId174" Target="https://doi.org/10.1139/facets-2020-0064" TargetMode="External" /><Relationship Type="http://schemas.openxmlformats.org/officeDocument/2006/relationships/hyperlink" Id="rId165" Target="https://doi.org/10.1139/facets-2020-0075" TargetMode="External" /><Relationship Type="http://schemas.openxmlformats.org/officeDocument/2006/relationships/hyperlink" Id="rId147" Target="https://doi.org/10.1139/facets-2020-0084" TargetMode="External" /><Relationship Type="http://schemas.openxmlformats.org/officeDocument/2006/relationships/hyperlink" Id="rId171" Target="https://doi.org/10.1139/facets-2022-0095" TargetMode="External" /><Relationship Type="http://schemas.openxmlformats.org/officeDocument/2006/relationships/hyperlink" Id="rId121" Target="https://doi.org/10.1139/facets-2023-0204" TargetMode="External" /><Relationship Type="http://schemas.openxmlformats.org/officeDocument/2006/relationships/hyperlink" Id="rId176" Target="https://doi.org/10.1139/facets-2024-0348" TargetMode="External" /><Relationship Type="http://schemas.openxmlformats.org/officeDocument/2006/relationships/hyperlink" Id="rId106" Target="https://doi.org/10.1139/facets-2025-0031" TargetMode="External" /><Relationship Type="http://schemas.openxmlformats.org/officeDocument/2006/relationships/hyperlink" Id="rId108" Target="https://doi.org/10.3233/EPL-2002-32_5_13" TargetMode="External" /><Relationship Type="http://schemas.openxmlformats.org/officeDocument/2006/relationships/hyperlink" Id="rId178" Target="https://doi.org/10.32614/CRAN.package.rvest" TargetMode="External" /><Relationship Type="http://schemas.openxmlformats.org/officeDocument/2006/relationships/hyperlink" Id="rId180" Target="https://doi.org/10.32614/CRAN.package.udpipe" TargetMode="External" /><Relationship Type="http://schemas.openxmlformats.org/officeDocument/2006/relationships/hyperlink" Id="rId101" Target="https://doi.org/10.3390/su6096024" TargetMode="External" /><Relationship Type="http://schemas.openxmlformats.org/officeDocument/2006/relationships/hyperlink" Id="rId104" Target="https://doi.org/10.5751/ES-02784-140145" TargetMode="External" /><Relationship Type="http://schemas.openxmlformats.org/officeDocument/2006/relationships/hyperlink" Id="rId155" Target="https://laws-lois.justice.gc.ca/PDF/F-14.pdf" TargetMode="External" /><Relationship Type="http://schemas.openxmlformats.org/officeDocument/2006/relationships/hyperlink" Id="rId125" Target="https://laws-lois.justice.gc.ca/PDF/tops/eng/TOPS.pdf" TargetMode="External" /><Relationship Type="http://schemas.openxmlformats.org/officeDocument/2006/relationships/hyperlink" Id="rId114" Target="https://publications.gc.ca/collections/collection_2012/bcp-pco/CP32-93-2012-3-eng.pdf" TargetMode="External" /><Relationship Type="http://schemas.openxmlformats.org/officeDocument/2006/relationships/hyperlink" Id="rId163" Target="https://publications.gc.ca/collections/collection_2018/mpo-dfo/fs70-6/Fs70-6-2018-042-eng.pdf" TargetMode="External" /><Relationship Type="http://schemas.openxmlformats.org/officeDocument/2006/relationships/hyperlink" Id="rId130" Target="https://publications.gc.ca/collections/collection_2020/mpo-dfo/fs70-6/Fs70-6-2020-023-eng.pdf" TargetMode="External" /><Relationship Type="http://schemas.openxmlformats.org/officeDocument/2006/relationships/hyperlink" Id="rId153" Target="https://publications.gc.ca/collections/collection_2021/parl/xc51-1/XC51-1-1-432-5-eng.pdf" TargetMode="External" /><Relationship Type="http://schemas.openxmlformats.org/officeDocument/2006/relationships/hyperlink" Id="rId127" Target="https://waves-vagues.dfo-mpo.gc.ca/library-bibliotheque/315577.pdf" TargetMode="External" /><Relationship Type="http://schemas.openxmlformats.org/officeDocument/2006/relationships/hyperlink" Id="rId145" Target="https://waves-vagues.dfo-mpo.gc.ca/library-bibliotheque/40807071.pdf" TargetMode="External" /><Relationship Type="http://schemas.openxmlformats.org/officeDocument/2006/relationships/hyperlink" Id="rId132" Target="https://waves-vagues.dfo-mpo.gc.ca/library-bibliotheque/41031209.pdf" TargetMode="External" /><Relationship Type="http://schemas.openxmlformats.org/officeDocument/2006/relationships/hyperlink" Id="rId161" Target="https://www.bclaws.gov.bc.ca/civix/content/amr/amr/2067365574/?xsl=/templates/browse.xsl" TargetMode="External" /><Relationship Type="http://schemas.openxmlformats.org/officeDocument/2006/relationships/hyperlink" Id="rId143" Target="https://www.bclaws.gov.bc.ca/civix/document/id/complete/statreg/02069_01" TargetMode="External" /><Relationship Type="http://schemas.openxmlformats.org/officeDocument/2006/relationships/hyperlink" Id="rId110" Target="https://www.canlii.org/" TargetMode="External" /><Relationship Type="http://schemas.openxmlformats.org/officeDocument/2006/relationships/hyperlink" Id="rId134" Target="https://www.dfo-mpo.gc.ca/fisheries-peches/ifmp-gmp/salmon-saumon/2024/okanagan-2024-eng.html" TargetMode="External" /><Relationship Type="http://schemas.openxmlformats.org/officeDocument/2006/relationships/hyperlink" Id="rId136" Target="https://www.dfo-mpo.gc.ca/reports-rapports/regs/sff-cpd/precautionary-precaution-eng.htm" TargetMode="External" /><Relationship Type="http://schemas.openxmlformats.org/officeDocument/2006/relationships/hyperlink" Id="rId123" Target="https://www.justice.gc.ca/eng/rp-pr/csj-sjc/legis-redact/legistics/p3p1.html" TargetMode="External" /><Relationship Type="http://schemas.openxmlformats.org/officeDocument/2006/relationships/hyperlink" Id="rId138"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2026-01-29T22:59:55Z</dcterms:created>
  <dcterms:modified xsi:type="dcterms:W3CDTF">2026-01-29T22:59:55Z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2026-01-29</vt:lpwstr>
  </property>
  <property fmtid="{D5CDD505-2E9C-101B-9397-08002B2CF9AE}" pid="5" name="language">
    <vt:lpwstr/>
  </property>
  <property fmtid="{D5CDD505-2E9C-101B-9397-08002B2CF9AE}" pid="6" name="output">
    <vt:lpwstr/>
  </property>
</Properties>
</file>