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34.png" ContentType="image/png"/>
  <Override PartName="/word/media/rId74.png" ContentType="image/png"/>
  <Override PartName="/word/media/rId79.png" ContentType="image/png"/>
  <Override PartName="/word/media/rId85.png" ContentType="image/png"/>
  <Override PartName="/word/media/rId20.png" ContentType="image/png"/>
  <Override PartName="/word/media/rId24.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2026-01-08</w:t>
      </w:r>
    </w:p>
    <w:bookmarkStart w:id="32" w:name="introduction"/>
    <w:p>
      <w:pPr>
        <w:pStyle w:val="Heading1"/>
      </w:pPr>
      <w:r>
        <w:t xml:space="preserve">Introduction</w:t>
      </w:r>
    </w:p>
    <w:bookmarkStart w:id="28"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their geographically widespread, anadromous life cycle that spans international boundaries and freshwater and marine ecosystems. While salmon and salmon fisheries are regulated federally, water use and watercourse management and the corresponding aquatic habitat is managed by the provinces. However, watercourse management is not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CaptionedFigure"/>
      </w:pPr>
      <w:r>
        <w:drawing>
          <wp:inline>
            <wp:extent cx="5943600" cy="4953000"/>
            <wp:effectExtent b="0" l="0" r="0" t="0"/>
            <wp:docPr descr="Figure 1: Federal jurisdiction: legislation to agency relationships. Sections proportionally attributed across responsible agencie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 Sections proportionally attributed across responsible agencies.</w:t>
      </w:r>
    </w:p>
    <w:p>
      <w:pPr>
        <w:pStyle w:val="CaptionedFigure"/>
      </w:pPr>
      <w:r>
        <w:drawing>
          <wp:inline>
            <wp:extent cx="5943600" cy="5094514"/>
            <wp:effectExtent b="0" l="0" r="0" t="0"/>
            <wp:docPr descr="Figure 2: Provincial jurisdiction: legislation to agency relationships. Sections proportionally attributed across responsible agencie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 Sections proportionally attributed across responsible agencies.</w:t>
      </w:r>
    </w:p>
    <w:p>
      <w:pPr>
        <w:pStyle w:val="Compact"/>
        <w:numPr>
          <w:ilvl w:val="0"/>
          <w:numId w:val="1001"/>
        </w:numPr>
      </w:pPr>
      <w:r>
        <w:rPr>
          <w:b/>
          <w:bCs/>
        </w:rPr>
        <w:t xml:space="preserve">need to format these charts better. Overlapping font. Maybe side-by-side charts? Or just one chart as an example? - Maybe alternate labels either side of boxes - maybe flip the charts to be horizontal? - Y-axis label too far away from graph - Italicize legislation names - Double check the current Minister names</w:t>
      </w:r>
    </w:p>
    <w:p>
      <w:pPr>
        <w:pStyle w:val="Compact"/>
        <w:numPr>
          <w:ilvl w:val="0"/>
          <w:numId w:val="1001"/>
        </w:numPr>
      </w:pPr>
      <w:r>
        <w:rPr>
          <w:b/>
          <w:bCs/>
        </w:rPr>
        <w:t xml:space="preserve">How did we choose the legislation to be in these charts? We haven’t introduces that idea yet. Maybe add more context to Figure captions</w:t>
      </w:r>
    </w:p>
    <w:p>
      <w:pPr>
        <w:pStyle w:val="FirstParagraph"/>
      </w:pPr>
      <w:r>
        <w:t xml:space="preserve">Acts and regulations in British Columbia might be designed to address one broad category of human activity, but this activity can cover many aspects of salmon management. For example, the provincial</w:t>
      </w:r>
      <w:r>
        <w:t xml:space="preserve"> </w:t>
      </w:r>
      <w:r>
        <w:rPr>
          <w:i/>
          <w:iCs/>
        </w:rPr>
        <w:t xml:space="preserve">Forest and Range Practices Act</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 from road infrastructure</w:t>
      </w:r>
      <w:r>
        <w:t xml:space="preserve"> </w:t>
      </w:r>
      <w:r>
        <w:t xml:space="preserve">(Ulaski et al. 2025)</w:t>
      </w:r>
      <w:r>
        <w:t xml:space="preserv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X97ee571fad33b77695a285dcc3cc021aa783b7a"/>
    <w:p>
      <w:pPr>
        <w:pStyle w:val="Heading2"/>
      </w:pPr>
      <w:r>
        <w:t xml:space="preserve">Complexity in addressing declines of Pacific Salmon</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w:t>
      </w:r>
      <w:r>
        <w:t xml:space="preserve"> </w:t>
      </w:r>
      <w:r>
        <w:t xml:space="preserve">the</w:t>
      </w:r>
      <w:r>
        <w:t xml:space="preserve"> </w:t>
      </w:r>
      <w:r>
        <w:rPr>
          <w:i/>
          <w:iCs/>
        </w:rPr>
        <w:t xml:space="preserve">Pacific Salmon Strategy Initiative</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declines in Canada are varied and have been the subject of numerous studies and reviews over the last few decades (e.g. the Cohen Commission 2010, Report of the Standing Committee On Fisheries and Oceans 2021,</w:t>
      </w:r>
      <w:r>
        <w:t xml:space="preserve">(Grant et al. 2019)</w:t>
      </w:r>
      <w:r>
        <w:t xml:space="preserve">). Declines are recognized as a consequence of human activity, including the loss or degradation of freshwater habitat</w:t>
      </w:r>
      <w:r>
        <w:t xml:space="preserve"> </w:t>
      </w:r>
      <w:r>
        <w:t xml:space="preserve">(Bisson et al. 2009)</w:t>
      </w:r>
      <w:r>
        <w:t xml:space="preserve">, unsustainable fisheries harvest, and climate change.</w:t>
      </w:r>
    </w:p>
    <w:p>
      <w:pPr>
        <w:pStyle w:val="BodyText"/>
      </w:pPr>
      <w:r>
        <w:t xml:space="preserve">In response to declines, commercial fisheries harvests have been substantially curtailed in recent decades</w:t>
      </w:r>
      <w:r>
        <w:t xml:space="preserve"> </w:t>
      </w:r>
      <w:r>
        <w:t xml:space="preserve">(Del Valle et al. 2024)</w:t>
      </w:r>
      <w:r>
        <w:t xml:space="preserve"> </w:t>
      </w:r>
      <w:r>
        <w:t xml:space="preserve">as Fisheries and Oceans Canada aims to manage fisheries to preserve biodiversity in a manner consistent with the</w:t>
      </w:r>
      <w:r>
        <w:t xml:space="preserve"> </w:t>
      </w:r>
      <w:r>
        <w:rPr>
          <w:i/>
          <w:iCs/>
        </w:rPr>
        <w:t xml:space="preserve">Wild Salmon Policy</w:t>
      </w:r>
      <w:r>
        <w:t xml:space="preserve"> </w:t>
      </w:r>
      <w:r>
        <w:t xml:space="preserve">and the Precautionary Approach. Fisheries, particularly commercial fisheries, are legislated under the distinct authority of the Fisheries Act where laws and regulations prescribe how, when, and where fisheries harvest may occur within Canadian waters. There is no ambiguity in jurisdiction or responsibility, at least for fisheries intercepting Pacific salmon within Canada, therefore fisheries harvest impacts can be adjusted relatively easily in response to declines or changing abundances. Fisheries also result in direct mortality to salmon, therefore, impacts can be directly measured and managed using quantifiable targets, assuming adequate monitoring information is collected.</w:t>
      </w:r>
    </w:p>
    <w:p>
      <w:pPr>
        <w:pStyle w:val="BodyText"/>
      </w:pPr>
      <w:r>
        <w:t xml:space="preserve">By contrast, threats to salmon habitat require a much more coordinated and inter-jurisdictional approach to evaluate and address. Freshwater habitat, including water quantity (discharge and timing) and water quality (temperature and chemistry), are impacted by actions and conditions throughout the entire watershed. Local activities, such as forestry and urbanisation, act cumulatively and compound with climate changes to degrade salmon watersheds, threatening their ability to sustain salmon abundance and diversity</w:t>
      </w:r>
      <w:r>
        <w:t xml:space="preserve"> </w:t>
      </w:r>
      <w:r>
        <w:t xml:space="preserve">(Moore et al. 2025)</w:t>
      </w:r>
      <w:r>
        <w:t xml:space="preserve">. Impacts from activities are often indirect, requiring monitoring and long-term studies to identify with confidence</w:t>
      </w:r>
      <w:r>
        <w:t xml:space="preserve"> </w:t>
      </w:r>
      <w:r>
        <w:t xml:space="preserve">(Ulaski et al. 2025)</w:t>
      </w:r>
      <w:r>
        <w:t xml:space="preserve">. Regulation of threats to salmon freshwater habitat in British Columbia therefore requires the application of multiple acts and regulations across both federal and provincial jurisdiction, where the impacts from activities and the benefits of mitigation are uncertain and spread out over time and space.</w:t>
      </w:r>
    </w:p>
    <w:p>
      <w:pPr>
        <w:pStyle w:val="BodyText"/>
      </w:pPr>
      <w:r>
        <w:t xml:space="preserve">For example, regulation of forestry under the</w:t>
      </w:r>
      <w:r>
        <w:t xml:space="preserve"> </w:t>
      </w:r>
      <w:r>
        <w:rPr>
          <w:i/>
          <w:iCs/>
        </w:rPr>
        <w:t xml:space="preserve">Forestry Act</w:t>
      </w:r>
      <w:r>
        <w:t xml:space="preserve">, water licensing under the Water Sustainability Act, environmental assessment of a mine under the Environmental Assessment Act, regulation of activities that cause harm to salmon habitat under the</w:t>
      </w:r>
      <w:r>
        <w:t xml:space="preserve"> </w:t>
      </w:r>
      <w:r>
        <w:rPr>
          <w:i/>
          <w:iCs/>
        </w:rPr>
        <w:t xml:space="preserve">Fisheries Act</w:t>
      </w:r>
      <w:r>
        <w:t xml:space="preserve"> </w:t>
      </w:r>
      <w:r>
        <w:t xml:space="preserve">….</w:t>
      </w:r>
    </w:p>
    <w:p>
      <w:pPr>
        <w:pStyle w:val="Compact"/>
        <w:numPr>
          <w:ilvl w:val="0"/>
          <w:numId w:val="1002"/>
        </w:numPr>
      </w:pPr>
      <w:r>
        <w:rPr>
          <w:b/>
          <w:bCs/>
        </w:rPr>
        <w:t xml:space="preserve">MW - Minor suggestions. The FFHPP regulates</w:t>
      </w:r>
      <w:r>
        <w:rPr>
          <w:b/>
          <w:bCs/>
        </w:rPr>
        <w:t xml:space="preserve"> </w:t>
      </w:r>
      <w:r>
        <w:rPr>
          <w:b/>
          <w:bCs/>
        </w:rPr>
        <w:t xml:space="preserve">“</w:t>
      </w:r>
      <w:r>
        <w:rPr>
          <w:b/>
          <w:bCs/>
        </w:rPr>
        <w:t xml:space="preserve">Projects Near Water</w:t>
      </w:r>
      <w:r>
        <w:rPr>
          <w:b/>
          <w:bCs/>
        </w:rPr>
        <w:t xml:space="preserve">”</w:t>
      </w:r>
      <w:r>
        <w:rPr>
          <w:b/>
          <w:bCs/>
        </w:rPr>
        <w:t xml:space="preserve"> </w:t>
      </w:r>
      <w:r>
        <w:rPr>
          <w:b/>
          <w:bCs/>
        </w:rPr>
        <w:t xml:space="preserve">based on the prohibition against causing Harmful Alteration, Disruption or Destruction of fish habitat or Death of Fish. Fisheries Officers may work with FFHPP biologist in enforcement when someone contravenes the Fisheries Act. As you know, also under the fisheries Act, is the prohibition on deleterious substances regulated by Environment Canada.</w:t>
      </w:r>
    </w:p>
    <w:p>
      <w:pPr>
        <w:pStyle w:val="FirstParagraph"/>
      </w:pPr>
      <w:r>
        <w:t xml:space="preserve">Amidst this uncertainty and complexity, multiple assessment frameworks have been developed to evaluate risks arising from anthropogenic activities and limiting factors for the survival and recovery of Pacific salmon populations [</w:t>
      </w:r>
      <w:r>
        <w:t xml:space="preserve">Chalifour et al. (2022)</w:t>
      </w:r>
      <w:r>
        <w:t xml:space="preserve">;</w:t>
      </w:r>
      <w:r>
        <w:t xml:space="preserve"> </w:t>
      </w:r>
      <w:r>
        <w:t xml:space="preserve">Salafsky et al. (2008)</w:t>
      </w:r>
      <w:r>
        <w:t xml:space="preserve">;</w:t>
      </w:r>
      <w:r>
        <w:t xml:space="preserve"> </w:t>
      </w:r>
      <w:r>
        <w:rPr>
          <w:b/>
          <w:bCs/>
        </w:rPr>
        <w:t xml:space="preserve">RAMS citation?</w:t>
      </w:r>
      <w:r>
        <w:t xml:space="preserve">]. While varied in their approaches, these frameworks generally aim to be comprehensive in assessing the wide range of threats that may impact Pacific salmon across their life cycle to inform status assessments, recovery planning, and conservation strategies. One of the most widely used risk assessment frameworks for Pacific salmon is the</w:t>
      </w:r>
      <w:r>
        <w:t xml:space="preserve"> </w:t>
      </w:r>
      <w:r>
        <w:rPr>
          <w:i/>
          <w:iCs/>
        </w:rPr>
        <w:t xml:space="preserve">International Union for Conservation of Nature</w:t>
      </w:r>
      <w:r>
        <w:t xml:space="preserve"> </w:t>
      </w:r>
      <w:r>
        <w:t xml:space="preserve">(IUCN)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COSEWIC 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 A key challenge is identifying actions that are</w:t>
      </w:r>
      <w:r>
        <w:t xml:space="preserve"> </w:t>
      </w:r>
      <w:r>
        <w:rPr>
          <w:b/>
          <w:bCs/>
        </w:rPr>
        <w:t xml:space="preserve">impactful</w:t>
      </w:r>
      <w:r>
        <w:t xml:space="preserve"> </w:t>
      </w:r>
      <w:r>
        <w:rPr>
          <w:b/>
          <w:bCs/>
        </w:rPr>
        <w:t xml:space="preserve">(**is that a word?)</w:t>
      </w:r>
      <w:r>
        <w:t xml:space="preserve"> </w:t>
      </w:r>
      <w:r>
        <w:t xml:space="preserve">and feasible across the wide geographic range and diverse life history of Pacific salmon. In many cases, regulatory complexity, ambiguous responsibility, unclear conservation objectives across jurisdictions and dispersed authority become barriers to effective and timely action.</w:t>
      </w:r>
    </w:p>
    <w:p>
      <w:pPr>
        <w:pStyle w:val="Compact"/>
        <w:numPr>
          <w:ilvl w:val="0"/>
          <w:numId w:val="1003"/>
        </w:numPr>
      </w:pPr>
      <w:r>
        <w:rPr>
          <w:b/>
          <w:bCs/>
        </w:rPr>
        <w:t xml:space="preserve">MW - Option of adding</w:t>
      </w:r>
      <w:r>
        <w:rPr>
          <w:b/>
          <w:bCs/>
        </w:rPr>
        <w:t xml:space="preserve"> </w:t>
      </w:r>
      <w:r>
        <w:rPr>
          <w:b/>
          <w:bCs/>
        </w:rPr>
        <w:t xml:space="preserve">“</w:t>
      </w:r>
      <w:r>
        <w:rPr>
          <w:b/>
          <w:bCs/>
        </w:rPr>
        <w:t xml:space="preserve">unclear standards of management</w:t>
      </w:r>
      <w:r>
        <w:rPr>
          <w:b/>
          <w:bCs/>
        </w:rPr>
        <w:t xml:space="preserve">”</w:t>
      </w:r>
      <w:r>
        <w:rPr>
          <w:b/>
          <w:bCs/>
        </w:rPr>
        <w:t xml:space="preserve">, or similar, to the list? Unclear environmental or conservation objectives across jurisdictions maybe.</w:t>
      </w:r>
    </w:p>
    <w:bookmarkEnd w:id="29"/>
    <w:bookmarkStart w:id="31"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30">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Compact"/>
        <w:numPr>
          <w:ilvl w:val="0"/>
          <w:numId w:val="1004"/>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that apply to Pacific salmon in British Columbia. Using a novel method for parsing and classifying legislative clauses, we develop keyword relationships between IUCN threats classifications and XXXX clauses from XX acts and XX regulations. By creating an extensive, open-source, and easily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31"/>
    <w:bookmarkEnd w:id="32"/>
    <w:bookmarkStart w:id="38" w:name="X06bc8cf00ca5baea230857c3fdd1788ec12acc8"/>
    <w:p>
      <w:pPr>
        <w:pStyle w:val="Heading1"/>
      </w:pPr>
      <w:r>
        <w:t xml:space="preserve">International Union for Conservation of Nature (IUCN) threat categories</w:t>
      </w:r>
    </w:p>
    <w:p>
      <w:pPr>
        <w:pStyle w:val="FirstParagraph"/>
      </w:pPr>
      <w:r>
        <w:t xml:space="preserve">Management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pStyle w:val="Compact"/>
        <w:numPr>
          <w:ilvl w:val="0"/>
          <w:numId w:val="1005"/>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33">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3</w:t>
      </w:r>
      <w:r>
        <w:t xml:space="preserve">).</w:t>
      </w:r>
    </w:p>
    <w:p>
      <w:pPr>
        <w:pStyle w:val="CaptionedFigure"/>
      </w:pPr>
      <w:r>
        <w:drawing>
          <wp:inline>
            <wp:extent cx="5943600" cy="3343275"/>
            <wp:effectExtent b="0" l="0" r="0" t="0"/>
            <wp:docPr descr="Figure 3: Flowchart showing alignment of IUCN Level 2 threat categories with Management Domain in relation to legislation and jurisdiction." title="" id="35" name="Picture"/>
            <a:graphic>
              <a:graphicData uri="http://schemas.openxmlformats.org/drawingml/2006/picture">
                <pic:pic>
                  <pic:nvPicPr>
                    <pic:cNvPr descr="../assets/Management%20Domain%20Flowchart.png" id="36" name="Picture"/>
                    <pic:cNvPicPr>
                      <a:picLocks noChangeArrowheads="1" noChangeAspect="1"/>
                    </pic:cNvPicPr>
                  </pic:nvPicPr>
                  <pic:blipFill>
                    <a:blip r:embed="rId3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37" w:name="fig:fig-flowchart-image"/>
      <w:bookmarkEnd w:id="37"/>
      <w:r>
        <w:t xml:space="preserve">Figure 3: Flowchart showing alignment of IUCN Level 2 threat categories with Management Domain in relation to legislation and jurisdiction.</w:t>
      </w:r>
    </w:p>
    <w:bookmarkEnd w:id="38"/>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We accumulated Canadian federal and British Columbian provincial legislation according to their relevance to salmon and habitat management.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6"/>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management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7"/>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8"/>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8"/>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management.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9"/>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9"/>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10"/>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management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1"/>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2"/>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1,239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3,609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3,227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3,474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3,015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2,898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1,702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19,164</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3"/>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3"/>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4"/>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4"/>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5"/>
        </w:numPr>
      </w:pPr>
      <w:r>
        <w:rPr>
          <w:b/>
          <w:bCs/>
        </w:rPr>
        <w:t xml:space="preserve">DG - I suggest adding a column that has the RPA citation that covers each group of DUs, since I don’t see the RPAs cited anywhere else.</w:t>
      </w:r>
    </w:p>
    <w:p>
      <w:pPr>
        <w:numPr>
          <w:ilvl w:val="0"/>
          <w:numId w:val="1015"/>
        </w:numPr>
      </w:pPr>
      <w:r>
        <w:rPr>
          <w:b/>
          <w:bCs/>
        </w:rPr>
        <w:t xml:space="preserve">DG - For consideration: mapping the CUs to their corresponding DUs in this table. The STREAM platform has a crosswalk for this.</w:t>
      </w:r>
    </w:p>
    <w:p>
      <w:pPr>
        <w:numPr>
          <w:ilvl w:val="0"/>
          <w:numId w:val="1015"/>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5"/>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6"/>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7"/>
        </w:numPr>
      </w:pPr>
      <w:r>
        <w:rPr>
          <w:b/>
          <w:bCs/>
        </w:rPr>
        <w:t xml:space="preserve">DG - It looks like the x-axis is organized alphabetically, causing some of the threats in categories 10 and 11 to be up at the top.</w:t>
      </w:r>
    </w:p>
    <w:p>
      <w:pPr>
        <w:numPr>
          <w:ilvl w:val="0"/>
          <w:numId w:val="1017"/>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w:t>
      </w:r>
      <w:r>
        <w:t xml:space="preserve"> </w:t>
      </w:r>
      <w:r>
        <w:t xml:space="preserve">(DFO 2020, 2022)</w:t>
      </w:r>
      <w:r>
        <w:t xml:space="preserve">:</w:t>
      </w:r>
    </w:p>
    <w:p>
      <w:pPr>
        <w:numPr>
          <w:ilvl w:val="0"/>
          <w:numId w:val="1018"/>
        </w:numPr>
      </w:pPr>
      <w:r>
        <w:rPr>
          <w:b/>
          <w:bCs/>
        </w:rPr>
        <w:t xml:space="preserve">DG - Suggest using IUCN-CMP throughout if that’s what we’re starting with.</w:t>
      </w:r>
    </w:p>
    <w:p>
      <w:pPr>
        <w:numPr>
          <w:ilvl w:val="0"/>
          <w:numId w:val="1018"/>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8"/>
        </w:numPr>
      </w:pPr>
      <w:r>
        <w:rPr>
          <w:b/>
          <w:bCs/>
        </w:rPr>
        <w:t xml:space="preserve">DG - I suggest just citing the RES Docs instead of the SARs</w:t>
      </w:r>
    </w:p>
    <w:p>
      <w:pPr>
        <w:numPr>
          <w:ilvl w:val="0"/>
          <w:numId w:val="1018"/>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9"/>
        </w:numPr>
      </w:pPr>
      <w:r>
        <w:rPr>
          <w:b/>
          <w:bCs/>
        </w:rPr>
        <w:t xml:space="preserve">DG - Could be helpful to note the different values on the x-axis between this and the next figure</w:t>
      </w:r>
    </w:p>
    <w:p>
      <w:pPr>
        <w:numPr>
          <w:ilvl w:val="0"/>
          <w:numId w:val="1019"/>
        </w:numPr>
      </w:pPr>
      <w:r>
        <w:rPr>
          <w:b/>
          <w:bCs/>
        </w:rPr>
        <w:t xml:space="preserve">Add more description of Big Bar slide</w:t>
      </w:r>
    </w:p>
    <w:p>
      <w:pPr>
        <w:numPr>
          <w:ilvl w:val="0"/>
          <w:numId w:val="1019"/>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 Interior area (Table</w:t>
      </w:r>
      <w:r>
        <w:t xml:space="preserve"> </w:t>
      </w:r>
      <w:r>
        <w:t xml:space="preserve">7</w:t>
      </w:r>
      <w:r>
        <w:t xml:space="preserve">).</w:t>
      </w:r>
    </w:p>
    <w:p>
      <w:pPr>
        <w:numPr>
          <w:ilvl w:val="0"/>
          <w:numId w:val="1020"/>
        </w:numPr>
      </w:pPr>
      <w:r>
        <w:rPr>
          <w:b/>
          <w:bCs/>
        </w:rPr>
        <w:t xml:space="preserve">DG - And 7.3 Other ecosystem modifications</w:t>
      </w:r>
    </w:p>
    <w:p>
      <w:pPr>
        <w:numPr>
          <w:ilvl w:val="0"/>
          <w:numId w:val="1020"/>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1"/>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2"/>
        </w:numPr>
      </w:pPr>
      <w:r>
        <w:rPr>
          <w:b/>
          <w:bCs/>
        </w:rPr>
        <w:t xml:space="preserve">add more description of Bessette Creek</w:t>
      </w:r>
    </w:p>
    <w:p>
      <w:pPr>
        <w:numPr>
          <w:ilvl w:val="0"/>
          <w:numId w:val="1022"/>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2"/>
        </w:numPr>
      </w:pPr>
      <w:r>
        <w:rPr>
          <w:b/>
          <w:bCs/>
        </w:rPr>
        <w:t xml:space="preserve">Comment on the most relevant legislation and why</w:t>
      </w:r>
    </w:p>
    <w:p>
      <w:pPr>
        <w:numPr>
          <w:ilvl w:val="0"/>
          <w:numId w:val="1022"/>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3"/>
        </w:numPr>
      </w:pPr>
      <w:r>
        <w:rPr>
          <w:b/>
          <w:bCs/>
        </w:rPr>
        <w:t xml:space="preserve">The decision maker must consider the environmental flow needs of the stream (as outlined in the EFN Policy).</w:t>
      </w:r>
    </w:p>
    <w:p>
      <w:pPr>
        <w:numPr>
          <w:ilvl w:val="1"/>
          <w:numId w:val="1023"/>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4"/>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management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management decisions and administrative responsibility.</w:t>
      </w:r>
    </w:p>
    <w:bookmarkEnd w:id="93"/>
    <w:bookmarkEnd w:id="94"/>
    <w:bookmarkStart w:id="146" w:name="references"/>
    <w:p>
      <w:pPr>
        <w:pStyle w:val="Heading1"/>
      </w:pPr>
      <w:r>
        <w:t xml:space="preserve">References</w:t>
      </w:r>
    </w:p>
    <w:bookmarkStart w:id="145"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 pacific salmon populations in a large watershed under multiple stressors. Journal of Applied Ecology (November 2021): 2212–2226. doi:</w:t>
      </w:r>
      <w:hyperlink r:id="rId109">
        <w:r>
          <w:rPr>
            <w:rStyle w:val="Hyperlink"/>
          </w:rPr>
          <w:t xml:space="preserve">10.1111/1365-2664.14239</w:t>
        </w:r>
      </w:hyperlink>
      <w:r>
        <w:t xml:space="preserve">.</w:t>
      </w:r>
    </w:p>
    <w:bookmarkEnd w:id="110"/>
    <w:bookmarkStart w:id="111"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1"/>
    <w:bookmarkStart w:id="113"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2">
        <w:r>
          <w:rPr>
            <w:rStyle w:val="Hyperlink"/>
          </w:rPr>
          <w:t xml:space="preserve">10.1016/j.tree.2014.12.004</w:t>
        </w:r>
      </w:hyperlink>
      <w:r>
        <w:t xml:space="preserve">.</w:t>
      </w:r>
    </w:p>
    <w:bookmarkEnd w:id="113"/>
    <w:bookmarkStart w:id="115" w:name="ref-delvalle2024"/>
    <w:p>
      <w:pPr>
        <w:pStyle w:val="Bibliography"/>
      </w:pPr>
      <w:r>
        <w:t xml:space="preserve">Del Valle, E., Neal, B., Martínez-Candelas, I., Dann, P., Webb, D., and McClenachan, L. 2024. Fishing in turbulent waters: Resilience, risk, and trust in british columbia</w:t>
      </w:r>
      <w:r>
        <w:t xml:space="preserve">’</w:t>
      </w:r>
      <w:r>
        <w:t xml:space="preserve">s declining commercial salmon fishery. Facets</w:t>
      </w:r>
      <w:r>
        <w:t xml:space="preserve"> </w:t>
      </w:r>
      <w:r>
        <w:rPr>
          <w:b/>
          <w:bCs/>
        </w:rPr>
        <w:t xml:space="preserve">9</w:t>
      </w:r>
      <w:r>
        <w:t xml:space="preserve">(1): 1–17. doi:</w:t>
      </w:r>
      <w:hyperlink r:id="rId114">
        <w:r>
          <w:rPr>
            <w:rStyle w:val="Hyperlink"/>
          </w:rPr>
          <w:t xml:space="preserve">10.1139/facets-2023-0204</w:t>
        </w:r>
      </w:hyperlink>
      <w:r>
        <w:t xml:space="preserve">.</w:t>
      </w:r>
    </w:p>
    <w:bookmarkEnd w:id="115"/>
    <w:bookmarkStart w:id="117"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6">
        <w:r>
          <w:rPr>
            <w:rStyle w:val="Hyperlink"/>
          </w:rPr>
          <w:t xml:space="preserve">https://www.justice.gc.ca/eng/rp-pr/csj-sjc/legis-redact/legistics/p3p1.html</w:t>
        </w:r>
      </w:hyperlink>
      <w:r>
        <w:t xml:space="preserve"> </w:t>
      </w:r>
      <w:r>
        <w:t xml:space="preserve">[accessed 18 December 2025].</w:t>
      </w:r>
    </w:p>
    <w:bookmarkEnd w:id="117"/>
    <w:bookmarkStart w:id="118"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118"/>
    <w:bookmarkStart w:id="119"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119"/>
    <w:bookmarkStart w:id="120"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0"/>
    <w:bookmarkStart w:id="121" w:name="ref-doutaz2023"/>
    <w:p>
      <w:pPr>
        <w:pStyle w:val="Bibliography"/>
      </w:pPr>
      <w:r>
        <w:t xml:space="preserve">Doutaz, D., Huang, A., Decker, S., and Vivian, T. 2023. Recovery potential assessment for fraser river sockeye salmon (oncorhynchus nerka), nine designatable units part 2: Biology, habitat, threats, mitigations and allowable harm - elements 1-11, 14, 16-18, 22.</w:t>
      </w:r>
    </w:p>
    <w:bookmarkEnd w:id="121"/>
    <w:bookmarkStart w:id="122" w:name="ref-grant2019"/>
    <w:p>
      <w:pPr>
        <w:pStyle w:val="Bibliography"/>
      </w:pPr>
      <w:r>
        <w:t xml:space="preserve">Grant, S.C.H., MacDonald, B.L., and Winston, M.L. 2019. State of canadian pacific salmon: Responses to changing climate and habitats.</w:t>
      </w:r>
    </w:p>
    <w:bookmarkEnd w:id="122"/>
    <w:bookmarkStart w:id="124"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23">
        <w:r>
          <w:rPr>
            <w:rStyle w:val="Hyperlink"/>
          </w:rPr>
          <w:t xml:space="preserve">10.1139/facets-2020-0084</w:t>
        </w:r>
      </w:hyperlink>
      <w:r>
        <w:t xml:space="preserve">.</w:t>
      </w:r>
    </w:p>
    <w:bookmarkEnd w:id="124"/>
    <w:bookmarkStart w:id="125"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25"/>
    <w:bookmarkStart w:id="127"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26">
        <w:r>
          <w:rPr>
            <w:rStyle w:val="Hyperlink"/>
          </w:rPr>
          <w:t xml:space="preserve">10.1016/j.biocon.2013.07.006</w:t>
        </w:r>
      </w:hyperlink>
      <w:r>
        <w:t xml:space="preserve">.</w:t>
      </w:r>
    </w:p>
    <w:bookmarkEnd w:id="127"/>
    <w:bookmarkStart w:id="129" w:name="ref-moore2025"/>
    <w:p>
      <w:pPr>
        <w:pStyle w:val="Bibliography"/>
      </w:pPr>
      <w:r>
        <w:t xml:space="preserve">Moore, J.W., Ulaski, M.E., Wilson, K.L., Martin, T.G., Kuiper, S.D., Peacock, S.J., Braun, D.C., Naman, S.M., Pitman, K.J., Reid, A.J., Rosenfeld, J.S., Sainsbury, N.C., Wilson, S.M., and Zdasiuk, B.J. 2025. A Safe Operating Space for Salmon Watersheds Under Rapid Climate Change. Fish and Fisheries: faf.70027. doi:</w:t>
      </w:r>
      <w:hyperlink r:id="rId128">
        <w:r>
          <w:rPr>
            <w:rStyle w:val="Hyperlink"/>
          </w:rPr>
          <w:t xml:space="preserve">10.1111/faf.70027</w:t>
        </w:r>
      </w:hyperlink>
      <w:r>
        <w:t xml:space="preserve">.</w:t>
      </w:r>
    </w:p>
    <w:bookmarkEnd w:id="129"/>
    <w:bookmarkStart w:id="131"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30">
        <w:r>
          <w:rPr>
            <w:rStyle w:val="Hyperlink"/>
          </w:rPr>
          <w:t xml:space="preserve">10.1139/cjfas-2017-0127</w:t>
        </w:r>
      </w:hyperlink>
      <w:r>
        <w:t xml:space="preserve">.</w:t>
      </w:r>
    </w:p>
    <w:bookmarkEnd w:id="131"/>
    <w:bookmarkStart w:id="133"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32">
        <w:r>
          <w:rPr>
            <w:rStyle w:val="Hyperlink"/>
          </w:rPr>
          <w:t xml:space="preserve">10.1139/facets-2020-0075</w:t>
        </w:r>
      </w:hyperlink>
      <w:r>
        <w:t xml:space="preserve">.</w:t>
      </w:r>
    </w:p>
    <w:bookmarkEnd w:id="133"/>
    <w:bookmarkStart w:id="135"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34">
        <w:r>
          <w:rPr>
            <w:rStyle w:val="Hyperlink"/>
          </w:rPr>
          <w:t xml:space="preserve">10.1111/cobi.14434</w:t>
        </w:r>
      </w:hyperlink>
      <w:r>
        <w:t xml:space="preserve">.</w:t>
      </w:r>
    </w:p>
    <w:bookmarkEnd w:id="135"/>
    <w:bookmarkStart w:id="137"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36">
        <w:r>
          <w:rPr>
            <w:rStyle w:val="Hyperlink"/>
          </w:rPr>
          <w:t xml:space="preserve">10.1111/j.1523-1739.2008.00937.x</w:t>
        </w:r>
      </w:hyperlink>
      <w:r>
        <w:t xml:space="preserve">.</w:t>
      </w:r>
    </w:p>
    <w:bookmarkEnd w:id="137"/>
    <w:bookmarkStart w:id="139"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38">
        <w:r>
          <w:rPr>
            <w:rStyle w:val="Hyperlink"/>
          </w:rPr>
          <w:t xml:space="preserve">10.1139/facets-2022-0095</w:t>
        </w:r>
      </w:hyperlink>
      <w:r>
        <w:t xml:space="preserve">.</w:t>
      </w:r>
    </w:p>
    <w:bookmarkEnd w:id="139"/>
    <w:bookmarkStart w:id="140"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40"/>
    <w:bookmarkStart w:id="142"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41">
        <w:r>
          <w:rPr>
            <w:rStyle w:val="Hyperlink"/>
          </w:rPr>
          <w:t xml:space="preserve">10.1139/facets-2020-0064</w:t>
        </w:r>
      </w:hyperlink>
      <w:r>
        <w:t xml:space="preserve">.</w:t>
      </w:r>
    </w:p>
    <w:bookmarkEnd w:id="142"/>
    <w:bookmarkStart w:id="144"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43">
        <w:r>
          <w:rPr>
            <w:rStyle w:val="Hyperlink"/>
          </w:rPr>
          <w:t xml:space="preserve">10.1139/facets-2024-0348</w:t>
        </w:r>
      </w:hyperlink>
      <w:r>
        <w:t xml:space="preserve">.</w:t>
      </w:r>
    </w:p>
    <w:bookmarkEnd w:id="144"/>
    <w:bookmarkEnd w:id="145"/>
    <w:bookmarkEnd w:id="146"/>
    <w:bookmarkStart w:id="147" w:name="supplementary-material"/>
    <w:p>
      <w:pPr>
        <w:pStyle w:val="Heading1"/>
      </w:pPr>
      <w:r>
        <w:t xml:space="preserve">Supplementary material</w:t>
      </w:r>
    </w:p>
    <w:p>
      <w:pPr>
        <w:pStyle w:val="Compact"/>
        <w:numPr>
          <w:ilvl w:val="0"/>
          <w:numId w:val="1025"/>
        </w:numPr>
      </w:pPr>
      <w:r>
        <w:rPr>
          <w:b/>
          <w:bCs/>
        </w:rPr>
        <w:t xml:space="preserve">Links or downloads for the LAPSE tool materials (app etc.)</w:t>
      </w:r>
    </w:p>
    <w:bookmarkEnd w:id="147"/>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305C7B"/>
    <w:rsid w:val="003446D7"/>
    <w:rsid w:val="004C64ED"/>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6F10"/>
    <w:rsid w:val="00D40977"/>
    <w:rsid w:val="00D812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305C7B"/>
    <w:pPr>
      <w:spacing w:after="200" w:line="240" w:lineRule="auto"/>
    </w:pPr>
    <w:rPr>
      <w:rFonts w:ascii="Montserrat" w:hAnsi="Montserrat"/>
      <w:i/>
      <w:iCs/>
      <w:color w:themeColor="background1" w:themeShade="A6" w:val="A6A6A6"/>
      <w:sz w:val="21"/>
      <w:szCs w:val="18"/>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34" Target="media/rId34.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33"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26" Target="https://doi.org/10.1016/j.biocon.2013.07.006" TargetMode="External" /><Relationship Type="http://schemas.openxmlformats.org/officeDocument/2006/relationships/hyperlink" Id="rId112"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34" Target="https://doi.org/10.1111/cobi.14434" TargetMode="External" /><Relationship Type="http://schemas.openxmlformats.org/officeDocument/2006/relationships/hyperlink" Id="rId128" Target="https://doi.org/10.1111/faf.70027" TargetMode="External" /><Relationship Type="http://schemas.openxmlformats.org/officeDocument/2006/relationships/hyperlink" Id="rId136" Target="https://doi.org/10.1111/j.1523-1739.2008.00937.x" TargetMode="External" /><Relationship Type="http://schemas.openxmlformats.org/officeDocument/2006/relationships/hyperlink" Id="rId130" Target="https://doi.org/10.1139/cjfas-2017-0127" TargetMode="External" /><Relationship Type="http://schemas.openxmlformats.org/officeDocument/2006/relationships/hyperlink" Id="rId141" Target="https://doi.org/10.1139/facets-2020-0064" TargetMode="External" /><Relationship Type="http://schemas.openxmlformats.org/officeDocument/2006/relationships/hyperlink" Id="rId132" Target="https://doi.org/10.1139/facets-2020-0075" TargetMode="External" /><Relationship Type="http://schemas.openxmlformats.org/officeDocument/2006/relationships/hyperlink" Id="rId123" Target="https://doi.org/10.1139/facets-2020-0084" TargetMode="External" /><Relationship Type="http://schemas.openxmlformats.org/officeDocument/2006/relationships/hyperlink" Id="rId138" Target="https://doi.org/10.1139/facets-2022-0095" TargetMode="External" /><Relationship Type="http://schemas.openxmlformats.org/officeDocument/2006/relationships/hyperlink" Id="rId114" Target="https://doi.org/10.1139/facets-2023-0204" TargetMode="External" /><Relationship Type="http://schemas.openxmlformats.org/officeDocument/2006/relationships/hyperlink" Id="rId143"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07" Target="https://www.canlii.org/" TargetMode="External" /><Relationship Type="http://schemas.openxmlformats.org/officeDocument/2006/relationships/hyperlink" Id="rId116"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33"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26" Target="https://doi.org/10.1016/j.biocon.2013.07.006" TargetMode="External" /><Relationship Type="http://schemas.openxmlformats.org/officeDocument/2006/relationships/hyperlink" Id="rId112"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34" Target="https://doi.org/10.1111/cobi.14434" TargetMode="External" /><Relationship Type="http://schemas.openxmlformats.org/officeDocument/2006/relationships/hyperlink" Id="rId128" Target="https://doi.org/10.1111/faf.70027" TargetMode="External" /><Relationship Type="http://schemas.openxmlformats.org/officeDocument/2006/relationships/hyperlink" Id="rId136" Target="https://doi.org/10.1111/j.1523-1739.2008.00937.x" TargetMode="External" /><Relationship Type="http://schemas.openxmlformats.org/officeDocument/2006/relationships/hyperlink" Id="rId130" Target="https://doi.org/10.1139/cjfas-2017-0127" TargetMode="External" /><Relationship Type="http://schemas.openxmlformats.org/officeDocument/2006/relationships/hyperlink" Id="rId141" Target="https://doi.org/10.1139/facets-2020-0064" TargetMode="External" /><Relationship Type="http://schemas.openxmlformats.org/officeDocument/2006/relationships/hyperlink" Id="rId132" Target="https://doi.org/10.1139/facets-2020-0075" TargetMode="External" /><Relationship Type="http://schemas.openxmlformats.org/officeDocument/2006/relationships/hyperlink" Id="rId123" Target="https://doi.org/10.1139/facets-2020-0084" TargetMode="External" /><Relationship Type="http://schemas.openxmlformats.org/officeDocument/2006/relationships/hyperlink" Id="rId138" Target="https://doi.org/10.1139/facets-2022-0095" TargetMode="External" /><Relationship Type="http://schemas.openxmlformats.org/officeDocument/2006/relationships/hyperlink" Id="rId114" Target="https://doi.org/10.1139/facets-2023-0204" TargetMode="External" /><Relationship Type="http://schemas.openxmlformats.org/officeDocument/2006/relationships/hyperlink" Id="rId143"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07" Target="https://www.canlii.org/" TargetMode="External" /><Relationship Type="http://schemas.openxmlformats.org/officeDocument/2006/relationships/hyperlink" Id="rId116"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2026-01-09T00:06:35Z</dcterms:created>
  <dcterms:modified xsi:type="dcterms:W3CDTF">2026-01-09T00:06:35Z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2026-01-08</vt:lpwstr>
  </property>
  <property fmtid="{D5CDD505-2E9C-101B-9397-08002B2CF9AE}" pid="5" name="language">
    <vt:lpwstr/>
  </property>
  <property fmtid="{D5CDD505-2E9C-101B-9397-08002B2CF9AE}" pid="6" name="output">
    <vt:lpwstr/>
  </property>
</Properties>
</file>