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DFO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(DFO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eight Canadian federal ministries and nine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Assessment frameworks have been developed amidst this uncertainty and complexity to evaluate anthropogenic activities and limiting factors for the survival and recovery of Pacific salmon populations</w:t>
      </w:r>
      <w:r>
        <w:t xml:space="preserve"> </w:t>
      </w:r>
      <w:r>
        <w:t xml:space="preserve">(Salafsky et al. 2008; DFO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Rebuilding plans have been developed under the</w:t>
      </w:r>
      <w:r>
        <w:t xml:space="preserve"> </w:t>
      </w:r>
      <w:r>
        <w:rPr>
          <w:i/>
          <w:iCs/>
        </w:rPr>
        <w:t xml:space="preserve">Fisheries Act</w:t>
      </w:r>
      <w:r>
        <w:t xml:space="preserve"> </w:t>
      </w:r>
      <w:r>
        <w:t xml:space="preserve">Fish Stock Provisions</w:t>
      </w:r>
      <w:r>
        <w:t xml:space="preserve"> </w:t>
      </w:r>
      <w:r>
        <w:t xml:space="preserve">(DFO 2022a)</w:t>
      </w:r>
      <w:r>
        <w:t xml:space="preserve"> </w:t>
      </w:r>
      <w:r>
        <w:t xml:space="preserve">for a small number of Pacific salmon populations including Okanagan Chinook</w:t>
      </w:r>
      <w:r>
        <w:t xml:space="preserve"> </w:t>
      </w:r>
      <w:r>
        <w:t xml:space="preserve">(DFO 2022b)</w:t>
      </w:r>
      <w:r>
        <w:t xml:space="preserve"> </w:t>
      </w:r>
      <w:r>
        <w:t xml:space="preserve">and West Coast Vancouver Island Chinook</w:t>
      </w:r>
      <w:r>
        <w:t xml:space="preserve"> </w:t>
      </w:r>
      <w:r>
        <w:t xml:space="preserve">(DFO 2025)</w:t>
      </w:r>
      <w:r>
        <w:t xml:space="preserve">. Risk assessments are intended to guide the development of rebuilding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2"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including the</w:t>
      </w:r>
      <w:r>
        <w:t xml:space="preserve"> </w:t>
      </w:r>
      <w:r>
        <w:rPr>
          <w:i/>
          <w:iCs/>
        </w:rPr>
        <w:t xml:space="preserve">Wild Salmon Policy</w:t>
      </w:r>
      <w:r>
        <w:t xml:space="preserve"> </w:t>
      </w:r>
      <w:r>
        <w:t xml:space="preserve">(DFO 2005)</w:t>
      </w:r>
      <w:r>
        <w:t xml:space="preserve"> </w:t>
      </w:r>
      <w:r>
        <w:t xml:space="preserve">and the</w:t>
      </w:r>
      <w:r>
        <w:t xml:space="preserve"> </w:t>
      </w:r>
      <w:r>
        <w:rPr>
          <w:i/>
          <w:iCs/>
        </w:rPr>
        <w:t xml:space="preserve">Trilateral declaration on the urgent need to address wild Pacific salmon populations in British Columbia</w:t>
      </w:r>
      <w:r>
        <w:t xml:space="preserve"> </w:t>
      </w:r>
      <w:r>
        <w:t xml:space="preserve">(DFO 2024)</w:t>
      </w:r>
      <w:r>
        <w:t xml:space="preserve">. Coordinated action requires adequate organizational capacity and systems for implementation to ensure that regulatory controls and mitigation activities address underlying threats to salmon and their habitat. However, linking threats and recovery actions to the relevant regulatory systems can be complex because salmon are often affected by multiple threats that each span across agencies and governmental jurisdiction. In this study, we seek to decode the complexity between threats to salmon and corresponding environmental legislation by creating an interface between regulatory language and anthropogenic threat categories.</w:t>
      </w:r>
    </w:p>
    <w:p>
      <w:pPr>
        <w:pStyle w:val="BodyText"/>
      </w:pPr>
      <w:r>
        <w:t xml:space="preserve">Laws formally codify societal values and expectations</w:t>
      </w:r>
      <w:r>
        <w:t xml:space="preserve"> </w:t>
      </w:r>
      <w:r>
        <w:t xml:space="preserve">(Swerdfager and Olive 2023)</w:t>
      </w:r>
      <w:r>
        <w:t xml:space="preserve"> </w:t>
      </w:r>
      <w:r>
        <w:t xml:space="preserve">by governing human activity. Salmon population management administered through legislative authority, therefore, relies on a tertiary system where laws control human activity, which impacts the quantity and quality of salmon habitat, which affects the capacity of the habitat to produce salmon. Because this system of control pivots around human activity, we focused this study and tools around human activity as well, employing the hierarchical categorization structure developed by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However, not all aspects of salmon management are specific to threats from human activity. Topics such as species status, spatial designation (parks), and overall governance administration may not connect to a direct human threat, or may encompass all the threats. In order to capture all these threat and non-threat related categories in our legislation-salmonscape interface, we created a</w:t>
      </w:r>
      <w:r>
        <w:t xml:space="preserve"> </w:t>
      </w:r>
      <w:r>
        <w:t xml:space="preserve">“</w:t>
      </w:r>
      <w:r>
        <w:t xml:space="preserve">management domain</w:t>
      </w:r>
      <w:r>
        <w:t xml:space="preserve">”</w:t>
      </w:r>
      <w:r>
        <w:t xml:space="preserve"> </w:t>
      </w:r>
      <w:r>
        <w:t xml:space="preserve">schema that we define as</w:t>
      </w:r>
      <w:r>
        <w:t xml:space="preserve"> </w:t>
      </w:r>
      <w:r>
        <w:t xml:space="preserve">“</w:t>
      </w:r>
      <w:r>
        <w:t xml:space="preserve">discrete areas of administrative concern.</w:t>
      </w:r>
      <w:r>
        <w:t xml:space="preserve">”</w:t>
      </w:r>
    </w:p>
    <w:p>
      <w:pPr>
        <w:pStyle w:val="BodyText"/>
      </w:pPr>
      <w:r>
        <w:t xml:space="preserve">We developed the</w:t>
      </w:r>
      <w:r>
        <w:t xml:space="preserve"> </w:t>
      </w:r>
      <w:r>
        <w:rPr>
          <w:i/>
          <w:iCs/>
        </w:rPr>
        <w:t xml:space="preserve">Legislation Applicable to Pacific Salmon and their Ecosystems</w:t>
      </w:r>
      <w:r>
        <w:t xml:space="preserve"> </w:t>
      </w:r>
      <w:r>
        <w:t xml:space="preserve">(LAPSE) process and database that parses Canadian federal and British Columbian acts and regulations relevant to Pacific salmon, then uses keyword phrase relationships to match clauses (paragraphs) to our management domains and corresponding IUCN threat categories.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2"/>
    <w:bookmarkEnd w:id="23"/>
    <w:bookmarkStart w:id="25" w:name="Xf36a64da03c825d64fdc209fc6c979849cc8a9e"/>
    <w:p>
      <w:pPr>
        <w:pStyle w:val="Heading1"/>
      </w:pPr>
      <w:r>
        <w:t xml:space="preserve">Management domains and International Union for Conservation of Nature (IUCN) threat categories</w:t>
      </w:r>
    </w:p>
    <w:p>
      <w:pPr>
        <w:pStyle w:val="FirstParagraph"/>
      </w:pPr>
      <w:r>
        <w:t xml:space="preserve">(</w:t>
      </w:r>
      <w:r>
        <w:rPr>
          <w:b/>
          <w:bCs/>
        </w:rPr>
        <w:t xml:space="preserve">salafsky?</w:t>
      </w:r>
      <w:r>
        <w:t xml:space="preserve">)</w:t>
      </w:r>
      <w:r>
        <w:t xml:space="preserve"> </w:t>
      </w:r>
      <w:r>
        <w:t xml:space="preserve">recognized that using a common language or a standard lexicon is essential for conservation science. Threats are used as a fundamental conservation concept, and can be defined as</w:t>
      </w:r>
      <w:r>
        <w:t xml:space="preserve"> </w:t>
      </w:r>
      <w:r>
        <w:t xml:space="preserve">“</w:t>
      </w:r>
      <w:r>
        <w:t xml:space="preserve">current or future human activities or altered natural phenomena that affect one or more ecosystems or species of interest</w:t>
      </w:r>
      <w:r>
        <w:t xml:space="preserve">”</w:t>
      </w:r>
      <w:r>
        <w:t xml:space="preserve"> </w:t>
      </w:r>
      <w:r>
        <w:t xml:space="preserve">(Salafsky et al. 2024)</w:t>
      </w:r>
      <w:r>
        <w:t xml:space="preserve">. The IUCN and the CMP began developing classifications of direct threats in the early 2000s.</w:t>
      </w:r>
    </w:p>
    <w:p>
      <w:pPr>
        <w:pStyle w:val="BodyText"/>
      </w:pPr>
      <w:r>
        <w:rPr>
          <w:b/>
          <w:bCs/>
        </w:rPr>
        <w:t xml:space="preserve">hierarchical (creates a logical way of grouping items that are related to one another to facilitate use of the classification and meaningful analyses at different levels); comprehensive (contains all possible items, at least at higher levels of the hierarchy; consistent (ensures that entries at a given level of the classification are of the same type); expandable (enables new items to be added to the classification if they are discovered); exclusive (allows any given item to only be placed in one cell within the hierarchy); and scalable (permits the same terms to be used at all geographic scales).</w:t>
      </w:r>
      <w:r>
        <w:rPr>
          <w:b/>
          <w:bCs/>
        </w:rPr>
        <w:t xml:space="preserve"> </w:t>
      </w:r>
      <w:r>
        <w:rPr>
          <w:b/>
          <w:bCs/>
        </w:rPr>
        <w:t xml:space="preserve">(Salafsky et al. 2008)</w:t>
      </w:r>
    </w:p>
    <w:p>
      <w:pPr>
        <w:pStyle w:val="BodyText"/>
      </w:pPr>
      <w:r>
        <w:rPr>
          <w:b/>
          <w:bCs/>
        </w:rPr>
        <w:t xml:space="preserve">hierarchical fashion with 3 different levels (the equivalent of families, genera, and species in</w:t>
      </w:r>
      <w:r>
        <w:rPr>
          <w:b/>
          <w:bCs/>
        </w:rPr>
        <w:t xml:space="preserve"> </w:t>
      </w:r>
      <w:r>
        <w:rPr>
          <w:b/>
          <w:bCs/>
        </w:rPr>
        <w:t xml:space="preserve">(Salafsky et al. 2008)</w:t>
      </w:r>
    </w:p>
    <w:p>
      <w:pPr>
        <w:pStyle w:val="BodyText"/>
      </w:pPr>
      <w:r>
        <w:rPr>
          <w:b/>
          <w:bCs/>
        </w:rPr>
        <w:t xml:space="preserve">the Linnaean system). Each first-level entry (e.g., threat [1] residential and commercial development) is subdivided into several second-level entries (e.g., threat [1.1] housing and urban areas, [1.2] commercial and industrial areas, and [1.3] tourism and recreation areas), and these are in turn subdivided into numerous third-level entries.</w:t>
      </w:r>
      <w:r>
        <w:rPr>
          <w:b/>
          <w:bCs/>
        </w:rPr>
        <w:t xml:space="preserve"> </w:t>
      </w:r>
      <w:r>
        <w:rPr>
          <w:b/>
          <w:bCs/>
        </w:rPr>
        <w:t xml:space="preserve">(Salafsky et al. 2008)</w:t>
      </w:r>
    </w:p>
    <w:p>
      <w:pPr>
        <w:pStyle w:val="BodyText"/>
      </w:pPr>
      <w:r>
        <w:rPr>
          <w:b/>
          <w:bCs/>
        </w:rPr>
        <w:t xml:space="preserve">The classifications are designed to be comprehensive, consistent, and exclusive for the first and second levels. The third level, by contrast, is at a much finer scale and thus only contains some illustrative examples rather than comprehensive listings of threats and actions at this level.</w:t>
      </w:r>
      <w:r>
        <w:rPr>
          <w:b/>
          <w:bCs/>
        </w:rPr>
        <w:t xml:space="preserve"> </w:t>
      </w:r>
      <w:r>
        <w:rPr>
          <w:b/>
          <w:bCs/>
        </w:rPr>
        <w:t xml:space="preserve">(Salafsky et al. 2008)</w:t>
      </w:r>
    </w:p>
    <w:p>
      <w:pPr>
        <w:pStyle w:val="BodyText"/>
      </w:pPr>
      <w:r>
        <w:rPr>
          <w:b/>
          <w:bCs/>
        </w:rPr>
        <w:t xml:space="preserve">One widely used risk assessment framework for Pacific salmon is the</w:t>
      </w:r>
      <w:r>
        <w:rPr>
          <w:b/>
          <w:bCs/>
        </w:rPr>
        <w:t xml:space="preserve"> </w:t>
      </w:r>
      <w:r>
        <w:rPr>
          <w:b/>
          <w:bCs/>
          <w:i/>
          <w:iCs/>
        </w:rPr>
        <w:t xml:space="preserve">International Union for Conservation of Nature</w:t>
      </w:r>
      <w:r>
        <w:rPr>
          <w:b/>
          <w:bCs/>
        </w:rPr>
        <w:t xml:space="preserve"> </w:t>
      </w:r>
      <w:r>
        <w:rPr>
          <w:b/>
          <w:bCs/>
        </w:rPr>
        <w:t xml:space="preserve">(IUCN)</w:t>
      </w:r>
      <w:r>
        <w:rPr>
          <w:b/>
          <w:bCs/>
        </w:rPr>
        <w:t xml:space="preserve"> </w:t>
      </w:r>
      <w:r>
        <w:rPr>
          <w:b/>
          <w:bCs/>
          <w:i/>
          <w:iCs/>
        </w:rPr>
        <w:t xml:space="preserve">Direct Threats Classification</w:t>
      </w:r>
      <w:r>
        <w:rPr>
          <w:b/>
          <w:bCs/>
        </w:rPr>
        <w:t xml:space="preserve">(Salafsky et al. 2008)</w:t>
      </w:r>
      <w:r>
        <w:rPr>
          <w:b/>
          <w:bCs/>
        </w:rPr>
        <w:t xml:space="preserve">, which is applied for Recovery Potential Assessments as part of</w:t>
      </w:r>
      <w:r>
        <w:rPr>
          <w:b/>
          <w:bCs/>
        </w:rPr>
        <w:t xml:space="preserve"> </w:t>
      </w:r>
      <w:r>
        <w:rPr>
          <w:b/>
          <w:bCs/>
          <w:i/>
          <w:iCs/>
        </w:rPr>
        <w:t xml:space="preserve">Species at Risk Act</w:t>
      </w:r>
      <w:r>
        <w:rPr>
          <w:b/>
          <w:bCs/>
        </w:rPr>
        <w:t xml:space="preserve"> </w:t>
      </w:r>
      <w:r>
        <w:rPr>
          <w:b/>
          <w:bCs/>
        </w:rPr>
        <w:t xml:space="preserve">listing processes and for Committee on the Status of Endangered Wildlife in Canada (COSEWIC) status assessments</w:t>
      </w:r>
      <w:r>
        <w:rPr>
          <w:b/>
          <w:bCs/>
        </w:rPr>
        <w:t xml:space="preserve"> </w:t>
      </w:r>
      <w:r>
        <w:rPr>
          <w:b/>
          <w:bCs/>
        </w:rPr>
        <w:t xml:space="preserve">(Arbeider et al. 2020; Dionne 2023; Doutaz et al. 2023)</w:t>
      </w:r>
      <w:r>
        <w:rPr>
          <w:b/>
          <w:bCs/>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2880"/>
        <w:gridCol w:w="3168"/>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IUCN Level 2</w:t>
            </w:r>
          </w:p>
        </w:tc>
      </w:tr>
      <w:tr>
        <w:trPr>
          <w:trHeight w:val="360" w:hRule="auto"/>
        </w:trPr>
        body 1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vMerge w:val="restart"/>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 &amp; Aquaculture</w:t>
            </w:r>
          </w:p>
        </w:tc>
        <w:tc>
          <w:tcPr>
            <w:tcBorders>
              <w:bottom w:val="single" w:sz="8" w:space="0" w:color="CCCCCC"/>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Annual &amp; Perennial Non-Timber Crops</w:t>
            </w:r>
          </w:p>
        </w:tc>
      </w:tr>
      <w:tr>
        <w:trPr>
          <w:trHeight w:val="360" w:hRule="auto"/>
        </w:trPr>
        body 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Marine &amp; Freshwater Aquaculture</w:t>
            </w:r>
          </w:p>
        </w:tc>
      </w:tr>
      <w:tr>
        <w:trPr>
          <w:trHeight w:val="360" w:hRule="auto"/>
        </w:trPr>
        body 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 Other Problematic Species, Genes &amp; Pathogens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Introduced Genetic Material</w:t>
            </w:r>
          </w:p>
        </w:tc>
      </w:tr>
      <w:tr>
        <w:trPr>
          <w:trHeight w:val="360" w:hRule="auto"/>
        </w:trPr>
        body 4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Natural Disasters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Geological Events</w:t>
            </w:r>
          </w:p>
        </w:tc>
      </w:tr>
      <w:tr>
        <w:trPr>
          <w:trHeight w:val="360" w:hRule="auto"/>
        </w:trPr>
        body 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Changes in Temperature Regimes</w:t>
            </w:r>
          </w:p>
        </w:tc>
      </w:tr>
      <w:tr>
        <w:trPr>
          <w:trHeight w:val="360" w:hRule="auto"/>
        </w:trPr>
        body 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Changes in Precipitation &amp; Hydrological Regimes</w:t>
            </w:r>
          </w:p>
        </w:tc>
      </w:tr>
      <w:tr>
        <w:trPr>
          <w:trHeight w:val="360" w:hRule="auto"/>
        </w:trPr>
        body 7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Biological Resource Use &amp; Control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Fishing, Harvesting &amp; Controlling Aquatic Species</w:t>
            </w:r>
          </w:p>
        </w:tc>
      </w:tr>
      <w:tr>
        <w:trPr>
          <w:trHeight w:val="360" w:hRule="auto"/>
        </w:trPr>
        body 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 &amp; Aquaculture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 &amp; Pulp Plantations</w:t>
            </w:r>
          </w:p>
        </w:tc>
      </w:tr>
      <w:tr>
        <w:trPr>
          <w:trHeight w:val="360" w:hRule="auto"/>
        </w:trPr>
        body 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Terrestrial Animal Farming, Ranching &amp; Herding</w:t>
            </w:r>
          </w:p>
        </w:tc>
      </w:tr>
      <w:tr>
        <w:trPr>
          <w:trHeight w:val="360" w:hRule="auto"/>
        </w:trPr>
        body10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Biological Resource Use &amp; Control</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Logging, Harvesting &amp; Controlling Trees</w:t>
            </w:r>
          </w:p>
        </w:tc>
      </w:tr>
      <w:tr>
        <w:trPr>
          <w:trHeight w:val="360" w:hRule="auto"/>
        </w:trPr>
        body11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Intrusions &amp; Disturbances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Human Disturbances</w:t>
            </w:r>
          </w:p>
        </w:tc>
      </w:tr>
      <w:tr>
        <w:trPr>
          <w:trHeight w:val="360" w:hRule="auto"/>
        </w:trPr>
        body12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 Other Problematic Species, Genes &amp; Pathogens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Non-Native / Alien Species</w:t>
            </w:r>
          </w:p>
        </w:tc>
      </w:tr>
      <w:tr>
        <w:trPr>
          <w:trHeight w:val="360" w:hRule="auto"/>
        </w:trPr>
        body13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Problematic Native Species</w:t>
            </w:r>
          </w:p>
        </w:tc>
      </w:tr>
      <w:tr>
        <w:trPr>
          <w:trHeight w:val="360" w:hRule="auto"/>
        </w:trPr>
        body14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Pathogens</w:t>
            </w:r>
          </w:p>
        </w:tc>
      </w:tr>
      <w:tr>
        <w:trPr>
          <w:trHeight w:val="360" w:hRule="auto"/>
        </w:trPr>
        body15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Energy Production &amp; Mining</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Oil &amp; Gas Exploration &amp; Extraction</w:t>
            </w:r>
          </w:p>
        </w:tc>
      </w:tr>
      <w:tr>
        <w:trPr>
          <w:trHeight w:val="360" w:hRule="auto"/>
        </w:trPr>
        body16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&amp; Quarrying</w:t>
            </w:r>
          </w:p>
        </w:tc>
      </w:tr>
      <w:tr>
        <w:trPr>
          <w:trHeight w:val="360" w:hRule="auto"/>
        </w:trPr>
        body17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Renewable Energy</w:t>
            </w:r>
          </w:p>
        </w:tc>
      </w:tr>
      <w:tr>
        <w:trPr>
          <w:trHeight w:val="360" w:hRule="auto"/>
        </w:trPr>
        body18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Water-Borne &amp; Other Effluent Pollution</w:t>
            </w:r>
          </w:p>
        </w:tc>
      </w:tr>
      <w:tr>
        <w:trPr>
          <w:trHeight w:val="360" w:hRule="auto"/>
        </w:trPr>
        body19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Garbage &amp; Solid Waste</w:t>
            </w:r>
          </w:p>
        </w:tc>
      </w:tr>
      <w:tr>
        <w:trPr>
          <w:trHeight w:val="360" w:hRule="auto"/>
        </w:trPr>
        body20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Service &amp; Security Corridors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Roads, Trails &amp; Railroads</w:t>
            </w:r>
          </w:p>
        </w:tc>
      </w:tr>
      <w:tr>
        <w:trPr>
          <w:trHeight w:val="360" w:hRule="auto"/>
        </w:trPr>
        body21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Utility &amp; Service Lines</w:t>
            </w:r>
          </w:p>
        </w:tc>
      </w:tr>
      <w:tr>
        <w:trPr>
          <w:trHeight w:val="360" w:hRule="auto"/>
        </w:trPr>
        body22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Shipping Lanes</w:t>
            </w:r>
          </w:p>
        </w:tc>
      </w:tr>
      <w:tr>
        <w:trPr>
          <w:trHeight w:val="360" w:hRule="auto"/>
        </w:trPr>
        body23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Residential, Commercial &amp; Recreation Areas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Residential Areas</w:t>
            </w:r>
          </w:p>
        </w:tc>
      </w:tr>
      <w:tr>
        <w:trPr>
          <w:trHeight w:val="360" w:hRule="auto"/>
        </w:trPr>
        body24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val="restart"/>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Natural System Management &amp; Modifications</w:t>
            </w: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Dams &amp; Water Management / Use</w:t>
            </w:r>
          </w:p>
        </w:tc>
      </w:tr>
      <w:tr>
        <w:trPr>
          <w:trHeight w:val="360" w:hRule="auto"/>
        </w:trPr>
        body25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Earth &amp; Sediment Management</w:t>
            </w:r>
          </w:p>
        </w:tc>
      </w:tr>
      <w:tr>
        <w:trPr>
          <w:trHeight w:val="360" w:hRule="auto"/>
        </w:trPr>
        body26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vMerge/>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p>
        </w:tc>
        <w:tc>
          <w:tcPr>
            <w:tcBorders>
              <w:bottom w:val="single" w:sz="8" w:space="0" w:color="CCCCCC"/>
              <w:top w:val="single" w:sz="8" w:space="0" w:color="CCCCCC"/>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Biological System Management</w:t>
            </w:r>
          </w:p>
        </w:tc>
      </w:tr>
    </w:tbl>
    <w:p>
      <w:pPr>
        <w:pStyle w:val="BodyText"/>
      </w:pPr>
      <w:r>
        <w:t xml:space="preserve">Stewardship decisions and activities related to salmon are often in response to identifiable threats to salmon health and population status.</w:t>
      </w:r>
    </w:p>
    <w:p>
      <w:pPr>
        <w:pStyle w:val="BodyText"/>
      </w:pPr>
      <w:r>
        <w:t xml:space="preserve">Legislated recovery planning also relies on a description of identified threats</w:t>
      </w:r>
      <w:r>
        <w:t xml:space="preserve"> </w:t>
      </w:r>
      <w:r>
        <w:t xml:space="preserve">(McCune et al. 2013)</w:t>
      </w:r>
      <w:r>
        <w:t xml:space="preserve">.</w:t>
      </w:r>
    </w:p>
    <w:p>
      <w:pPr>
        <w:pStyle w:val="BodyText"/>
      </w:pPr>
      <w:r>
        <w:t xml:space="preserve">Human systems can be categorized as direct threats to biodiversity more specifically for conservation strategies</w:t>
      </w:r>
      <w:r>
        <w:t xml:space="preserve"> </w:t>
      </w:r>
      <w:r>
        <w:t xml:space="preserve">(Salafsky et al. 2008)</w:t>
      </w:r>
      <w:r>
        <w:t xml:space="preserve">.</w:t>
      </w:r>
    </w:p>
    <w:p>
      <w:pPr>
        <w:pStyle w:val="BodyText"/>
      </w:pPr>
      <w:r>
        <w:t xml:space="preserve">**describe the IUCN threat levels and categories -</w:t>
      </w:r>
    </w:p>
    <w:p>
      <w:pPr>
        <w:pStyle w:val="BodyText"/>
      </w:pPr>
      <w:r>
        <w:t xml:space="preserve">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w:t>
      </w:r>
      <w:r>
        <w:t xml:space="preserve"> </w:t>
      </w:r>
      <w:r>
        <w:rPr>
          <w:b/>
          <w:bCs/>
        </w:rPr>
        <w:t xml:space="preserve">already mentioned</w:t>
      </w:r>
    </w:p>
    <w:p>
      <w:pPr>
        <w:pStyle w:val="BodyText"/>
      </w:pPr>
      <w:r>
        <w:t xml:space="preserve">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w:t>
      </w:r>
      <w:r>
        <w:t xml:space="preserve"> </w:t>
      </w:r>
      <w:r>
        <w:rPr>
          <w:b/>
          <w:bCs/>
        </w:rPr>
        <w:t xml:space="preserve">already mentioned</w:t>
      </w:r>
    </w:p>
    <w:p>
      <w:pPr>
        <w:pStyle w:val="BodyText"/>
      </w:pPr>
      <w:r>
        <w:t xml:space="preserve">For this study, the</w:t>
      </w:r>
      <w:r>
        <w:t xml:space="preserve"> </w:t>
      </w:r>
      <w:r>
        <w:rPr>
          <w:i/>
          <w:iCs/>
        </w:rPr>
        <w:t xml:space="preserve">IUCN - CMP Direct Threats Classification 4.0</w:t>
      </w:r>
      <w:r>
        <w:t xml:space="preserve"> </w:t>
      </w:r>
      <w:r>
        <w:t xml:space="preserve">(</w:t>
      </w:r>
      <w:r>
        <w:rPr>
          <w:b/>
          <w:bCs/>
        </w:rPr>
        <w:t xml:space="preserve">salafsky2025?</w:t>
      </w:r>
      <w:r>
        <w:t xml:space="preserve">)</w:t>
      </w:r>
      <w:r>
        <w:t xml:space="preserve"> </w:t>
      </w:r>
      <w:r>
        <w:t xml:space="preserve">was used to categorize legislation by direct threats to salmon conservation.</w:t>
      </w:r>
    </w:p>
    <w:p>
      <w:pPr>
        <w:pStyle w:val="BodyText"/>
      </w:pPr>
      <w:r>
        <w:rPr>
          <w:b/>
          <w:bCs/>
        </w:rPr>
        <w:t xml:space="preserve">Level 2 threat classification</w:t>
      </w:r>
      <w:r>
        <w:t xml:space="preserve"> </w:t>
      </w:r>
      <w:r>
        <w:t xml:space="preserve">was used as the finest resolution that could be applied consistently.</w:t>
      </w:r>
    </w:p>
    <w:p>
      <w:pPr>
        <w:numPr>
          <w:ilvl w:val="0"/>
          <w:numId w:val="1003"/>
        </w:numPr>
      </w:pPr>
      <w:r>
        <w:rPr>
          <w:b/>
          <w:bCs/>
        </w:rPr>
        <w:t xml:space="preserve">Explain the levels and hierarchy</w:t>
      </w:r>
    </w:p>
    <w:p>
      <w:pPr>
        <w:numPr>
          <w:ilvl w:val="0"/>
          <w:numId w:val="1003"/>
        </w:numPr>
      </w:pPr>
      <w:r>
        <w:rPr>
          <w:b/>
          <w:bCs/>
        </w:rPr>
        <w:t xml:space="preserve">DG - Not everyone will be familiar with the different threat levels in this framework. Before this sentence, a brief explanation of the threats hierarchy could help the unfamiliar reader.</w:t>
      </w:r>
    </w:p>
    <w:p>
      <w:pPr>
        <w:numPr>
          <w:ilvl w:val="0"/>
          <w:numId w:val="1003"/>
        </w:numPr>
      </w:pPr>
      <w:r>
        <w:rPr>
          <w:b/>
          <w:bCs/>
        </w:rPr>
        <w:t xml:space="preserve">You could point the reader to the original publication of this framework (</w:t>
      </w:r>
      <w:hyperlink r:id="rId24">
        <w:r>
          <w:rPr>
            <w:rStyle w:val="Hyperlink"/>
            <w:b/>
            <w:bCs/>
          </w:rPr>
          <w:t xml:space="preserve">The Society for Conservation Biology</w:t>
        </w:r>
      </w:hyperlink>
      <w:r>
        <w:rPr>
          <w:b/>
          <w:bCs/>
        </w:rPr>
        <w:t xml:space="preserve">), and/or summarize some key information from this paper, such as, “The threat classification hierarchically categorizes threats into three levels.</w:t>
      </w:r>
    </w:p>
    <w:p>
      <w:pPr>
        <w:numPr>
          <w:ilvl w:val="0"/>
          <w:numId w:val="1003"/>
        </w:numPr>
      </w:pPr>
      <w:r>
        <w:rPr>
          <w:b/>
          <w:bCs/>
        </w:rPr>
        <w:t xml:space="preserve">Each level one category (e.g., Agriculture &amp; Aquaculture) is further subdivided into several level two categories (e.g., Annual &amp; Perennial Non-Timber Crops, Marine &amp; Freshwater Aquaculture), and are subsequently into numerous level three and four categories.”</w:t>
      </w:r>
    </w:p>
    <w:p>
      <w:pPr>
        <w:numPr>
          <w:ilvl w:val="0"/>
          <w:numId w:val="1003"/>
        </w:numPr>
      </w:pP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bookmarkEnd w:id="25"/>
    <w:bookmarkStart w:id="30" w:name="management-domain-categories"/>
    <w:p>
      <w:pPr>
        <w:pStyle w:val="Heading1"/>
      </w:pPr>
      <w:r>
        <w:t xml:space="preserve">Management domain categories</w:t>
      </w:r>
    </w:p>
    <w:p>
      <w:pPr>
        <w:pStyle w:val="FirstParagraph"/>
      </w:pPr>
      <w:r>
        <w:rPr>
          <w:b/>
          <w:bCs/>
        </w:rPr>
        <w:t xml:space="preserve">**We haven’t mentioned Management Domains yet before this image!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X9e9523a728308a0d2bfaa4b1ff0f8b364c9693a"/>
    <w:p>
      <w:pPr>
        <w:pStyle w:val="Heading1"/>
      </w:pPr>
      <w:r>
        <w:t xml:space="preserve">Parsing legislations: 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4"/>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5"/>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bookmarkEnd w:id="40"/>
    <w:bookmarkStart w:id="45" w:name="legistics"/>
    <w:p>
      <w:pPr>
        <w:pStyle w:val="Heading2"/>
      </w:pPr>
      <w:r>
        <w:t xml:space="preserve">Legistics</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6"/>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6"/>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the-lapse-framework-development"/>
    <w:p>
      <w:pPr>
        <w:pStyle w:val="Heading2"/>
      </w:pPr>
      <w:r>
        <w:t xml:space="preserve">The LAPSE framework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7"/>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7"/>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8"/>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09"/>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0"/>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1"/>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1"/>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2"/>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2"/>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3"/>
        </w:numPr>
      </w:pPr>
      <w:r>
        <w:rPr>
          <w:b/>
          <w:bCs/>
        </w:rPr>
        <w:t xml:space="preserve">DG - I suggest adding a column that has the RPA citation that covers each group of DUs, since I don’t see the RPAs cited anywhere else.</w:t>
      </w:r>
    </w:p>
    <w:p>
      <w:pPr>
        <w:numPr>
          <w:ilvl w:val="0"/>
          <w:numId w:val="1013"/>
        </w:numPr>
      </w:pPr>
      <w:r>
        <w:rPr>
          <w:b/>
          <w:bCs/>
        </w:rPr>
        <w:t xml:space="preserve">DG - For consideration: mapping the CUs to their corresponding DUs in this table. The STREAM platform has a crosswalk for this.</w:t>
      </w:r>
    </w:p>
    <w:p>
      <w:pPr>
        <w:numPr>
          <w:ilvl w:val="0"/>
          <w:numId w:val="1013"/>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3"/>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4"/>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5"/>
        </w:numPr>
      </w:pPr>
      <w:r>
        <w:rPr>
          <w:b/>
          <w:bCs/>
        </w:rPr>
        <w:t xml:space="preserve">DG - It looks like the x-axis is organized alphabetically, causing some of the threats in categories 10 and 11 to be up at the top.</w:t>
      </w:r>
    </w:p>
    <w:p>
      <w:pPr>
        <w:numPr>
          <w:ilvl w:val="0"/>
          <w:numId w:val="1015"/>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DFO (2022a)</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DFO (2022a)</w:t>
      </w:r>
      <w:r>
        <w:t xml:space="preserve">]:</w:t>
      </w:r>
    </w:p>
    <w:p>
      <w:pPr>
        <w:numPr>
          <w:ilvl w:val="0"/>
          <w:numId w:val="1016"/>
        </w:numPr>
      </w:pPr>
      <w:r>
        <w:rPr>
          <w:b/>
          <w:bCs/>
        </w:rPr>
        <w:t xml:space="preserve">DG - Suggest using IUCN-CMP throughout if that’s what we’re starting with.</w:t>
      </w:r>
    </w:p>
    <w:p>
      <w:pPr>
        <w:numPr>
          <w:ilvl w:val="0"/>
          <w:numId w:val="1016"/>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6"/>
        </w:numPr>
      </w:pPr>
      <w:r>
        <w:rPr>
          <w:b/>
          <w:bCs/>
        </w:rPr>
        <w:t xml:space="preserve">DG - I suggest just citing the RES Docs instead of the SARs</w:t>
      </w:r>
    </w:p>
    <w:p>
      <w:pPr>
        <w:numPr>
          <w:ilvl w:val="0"/>
          <w:numId w:val="1016"/>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7"/>
        </w:numPr>
      </w:pPr>
      <w:r>
        <w:rPr>
          <w:b/>
          <w:bCs/>
        </w:rPr>
        <w:t xml:space="preserve">DG - Could be helpful to note the different values on the x-axis between this and the next figure</w:t>
      </w:r>
    </w:p>
    <w:p>
      <w:pPr>
        <w:numPr>
          <w:ilvl w:val="0"/>
          <w:numId w:val="1017"/>
        </w:numPr>
      </w:pPr>
      <w:r>
        <w:rPr>
          <w:b/>
          <w:bCs/>
        </w:rPr>
        <w:t xml:space="preserve">Add more description of Big Bar slide</w:t>
      </w:r>
    </w:p>
    <w:p>
      <w:pPr>
        <w:numPr>
          <w:ilvl w:val="0"/>
          <w:numId w:val="1017"/>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8"/>
        </w:numPr>
      </w:pPr>
      <w:r>
        <w:rPr>
          <w:b/>
          <w:bCs/>
        </w:rPr>
        <w:t xml:space="preserve">DG - And 7.3 Other ecosystem modifications</w:t>
      </w:r>
    </w:p>
    <w:p>
      <w:pPr>
        <w:numPr>
          <w:ilvl w:val="0"/>
          <w:numId w:val="1018"/>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19"/>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0"/>
        </w:numPr>
      </w:pPr>
      <w:r>
        <w:rPr>
          <w:b/>
          <w:bCs/>
        </w:rPr>
        <w:t xml:space="preserve">add more description of Bessette Creek</w:t>
      </w:r>
    </w:p>
    <w:p>
      <w:pPr>
        <w:numPr>
          <w:ilvl w:val="0"/>
          <w:numId w:val="1020"/>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0"/>
        </w:numPr>
      </w:pPr>
      <w:r>
        <w:rPr>
          <w:b/>
          <w:bCs/>
        </w:rPr>
        <w:t xml:space="preserve">Comment on the most relevant legislation and why</w:t>
      </w:r>
    </w:p>
    <w:p>
      <w:pPr>
        <w:numPr>
          <w:ilvl w:val="0"/>
          <w:numId w:val="1020"/>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1"/>
        </w:numPr>
      </w:pPr>
      <w:r>
        <w:rPr>
          <w:b/>
          <w:bCs/>
        </w:rPr>
        <w:t xml:space="preserve">The decision maker must consider the environmental flow needs of the stream (as outlined in the EFN Policy).</w:t>
      </w:r>
    </w:p>
    <w:p>
      <w:pPr>
        <w:numPr>
          <w:ilvl w:val="1"/>
          <w:numId w:val="1021"/>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2"/>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8" w:name="references"/>
    <w:p>
      <w:pPr>
        <w:pStyle w:val="Heading1"/>
      </w:pPr>
      <w:r>
        <w:t xml:space="preserve">References</w:t>
      </w:r>
    </w:p>
    <w:bookmarkStart w:id="167"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3" w:name="ref-dfo2005"/>
    <w:p>
      <w:pPr>
        <w:pStyle w:val="Bibliography"/>
      </w:pPr>
      <w:r>
        <w:t xml:space="preserve">DFO. 2005. Canada’s policy for conservation of wild pacific salmon.</w:t>
      </w:r>
      <w:r>
        <w:t xml:space="preserve"> </w:t>
      </w:r>
      <w:r>
        <w:t xml:space="preserve">Fisheries and Oceans Canada</w:t>
      </w:r>
      <w:r>
        <w:t xml:space="preserve">, Vancouver, BC. Available from</w:t>
      </w:r>
      <w:r>
        <w:t xml:space="preserve"> </w:t>
      </w:r>
      <w:hyperlink r:id="rId122">
        <w:r>
          <w:rPr>
            <w:rStyle w:val="Hyperlink"/>
          </w:rPr>
          <w:t xml:space="preserve">https://waves-vagues.dfo-mpo.gc.ca/library-bibliotheque/315577.pdf</w:t>
        </w:r>
      </w:hyperlink>
      <w:r>
        <w:t xml:space="preserve">.</w:t>
      </w:r>
    </w:p>
    <w:bookmarkEnd w:id="123"/>
    <w:bookmarkStart w:id="125" w:name="ref-dfo2021"/>
    <w:p>
      <w:pPr>
        <w:pStyle w:val="Bibliography"/>
      </w:pPr>
      <w:r>
        <w:t xml:space="preserve">DFO.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Fisheries; Oceans Canada, Vancouver, BC. Available from</w:t>
      </w:r>
      <w:r>
        <w:t xml:space="preserve"> </w:t>
      </w:r>
      <w:hyperlink r:id="rId124">
        <w:r>
          <w:rPr>
            <w:rStyle w:val="Hyperlink"/>
          </w:rPr>
          <w:t xml:space="preserve">https://waves-vagues.dfo-mpo.gc.ca/library-bibliotheque/41031209.pdf</w:t>
        </w:r>
      </w:hyperlink>
      <w:r>
        <w:t xml:space="preserve">.</w:t>
      </w:r>
    </w:p>
    <w:bookmarkEnd w:id="125"/>
    <w:bookmarkStart w:id="127" w:name="ref-DFO2022"/>
    <w:p>
      <w:pPr>
        <w:pStyle w:val="Bibliography"/>
      </w:pPr>
      <w:r>
        <w:t xml:space="preserve">DFO. 2022b. Rebuilding plan:</w:t>
      </w:r>
      <w:r>
        <w:t xml:space="preserve"> </w:t>
      </w:r>
      <w:r>
        <w:t xml:space="preserve">Okanagan Chinook Salmon</w:t>
      </w:r>
      <w:r>
        <w:t xml:space="preserve"> </w:t>
      </w:r>
      <w:r>
        <w:t xml:space="preserve">[</w:t>
      </w:r>
      <w:r>
        <w:t xml:space="preserve">Oncorhynchus</w:t>
      </w:r>
      <w:r>
        <w:t xml:space="preserve"> </w:t>
      </w:r>
      <w:r>
        <w:t xml:space="preserve">tshawytscha] [ntytyix | sk’lwis]. Rebuilding plan: Okanagan Chinook Salmon [Oncorhynchus tshawytscha] [ntytyix | sk’lwis];</w:t>
      </w:r>
      <w:r>
        <w:t xml:space="preserve"> </w:t>
      </w:r>
      <w:r>
        <w:t xml:space="preserve">Fisheries and Oceans Canada</w:t>
      </w:r>
      <w:r>
        <w:t xml:space="preserve">, Ottawa, ON. Available from</w:t>
      </w:r>
      <w:r>
        <w:t xml:space="preserve"> </w:t>
      </w:r>
      <w:hyperlink r:id="rId126">
        <w:r>
          <w:rPr>
            <w:rStyle w:val="Hyperlink"/>
          </w:rPr>
          <w:t xml:space="preserve">https://www.dfo-mpo.gc.ca/fisheries-peches/ifmp-gmp/salmon-saumon/2024/okanagan-2024-eng.html</w:t>
        </w:r>
      </w:hyperlink>
      <w:r>
        <w:t xml:space="preserve">.</w:t>
      </w:r>
    </w:p>
    <w:bookmarkEnd w:id="127"/>
    <w:bookmarkStart w:id="129" w:name="ref-dfo2022"/>
    <w:p>
      <w:pPr>
        <w:pStyle w:val="Bibliography"/>
      </w:pPr>
      <w:r>
        <w:t xml:space="preserve">DFO. 2022a. Guidelines for writing rebuilding plans per the</w:t>
      </w:r>
      <w:r>
        <w:t xml:space="preserve"> </w:t>
      </w:r>
      <w:r>
        <w:t xml:space="preserve">Fish Stocks Provisions</w:t>
      </w:r>
      <w:r>
        <w:t xml:space="preserve"> </w:t>
      </w:r>
      <w:r>
        <w:t xml:space="preserve">and</w:t>
      </w:r>
      <w:r>
        <w:t xml:space="preserve"> </w:t>
      </w:r>
      <w:r>
        <w:t xml:space="preserve">A Fishery Decision-making Framework Incorporating</w:t>
      </w:r>
      <w:r>
        <w:t xml:space="preserve"> </w:t>
      </w:r>
      <w:r>
        <w:t xml:space="preserve">the</w:t>
      </w:r>
      <w:r>
        <w:t xml:space="preserve"> </w:t>
      </w:r>
      <w:r>
        <w:t xml:space="preserve">Precautionary Approach</w:t>
      </w:r>
      <w:r>
        <w:t xml:space="preserve">. Guidelines for writing rebuilding plans per the Fish Stocks Provisions; A Fishery Decision-making Framework Incorporating the Precautionary Approach;</w:t>
      </w:r>
      <w:r>
        <w:t xml:space="preserve"> </w:t>
      </w:r>
      <w:r>
        <w:t xml:space="preserve">Fisheries and Oceans Canada</w:t>
      </w:r>
      <w:r>
        <w:t xml:space="preserve">, Ottawa, ON. Available from</w:t>
      </w:r>
      <w:r>
        <w:t xml:space="preserve"> </w:t>
      </w:r>
      <w:hyperlink r:id="rId128">
        <w:r>
          <w:rPr>
            <w:rStyle w:val="Hyperlink"/>
          </w:rPr>
          <w:t xml:space="preserve">https://www.dfo-mpo.gc.ca/reports-rapports/regs/sff-cpd/precautionary-precaution-eng.htm</w:t>
        </w:r>
      </w:hyperlink>
      <w:r>
        <w:t xml:space="preserve">.</w:t>
      </w:r>
    </w:p>
    <w:bookmarkEnd w:id="129"/>
    <w:bookmarkStart w:id="131" w:name="ref-dfo2024"/>
    <w:p>
      <w:pPr>
        <w:pStyle w:val="Bibliography"/>
      </w:pPr>
      <w:r>
        <w:t xml:space="preserve">DFO. 2024. Trilateral declaration on the urgent need to address wild</w:t>
      </w:r>
      <w:r>
        <w:t xml:space="preserve"> </w:t>
      </w:r>
      <w:r>
        <w:t xml:space="preserve">Pacific</w:t>
      </w:r>
      <w:r>
        <w:t xml:space="preserve"> </w:t>
      </w:r>
      <w:r>
        <w:t xml:space="preserve">salmon populations in</w:t>
      </w:r>
      <w:r>
        <w:t xml:space="preserve"> </w:t>
      </w:r>
      <w:r>
        <w:t xml:space="preserve">British Columbia</w:t>
      </w:r>
      <w:r>
        <w:t xml:space="preserve">. Trilateral declaration on the urgent need to address wild Pacific salmon populations in British Columbia;</w:t>
      </w:r>
      <w:r>
        <w:t xml:space="preserve"> </w:t>
      </w:r>
      <w:r>
        <w:t xml:space="preserve">Fisheries and Oceans Canada</w:t>
      </w:r>
      <w:r>
        <w:t xml:space="preserve">. Available from</w:t>
      </w:r>
      <w:r>
        <w:t xml:space="preserve"> </w:t>
      </w:r>
      <w:hyperlink r:id="rId130">
        <w:r>
          <w:rPr>
            <w:rStyle w:val="Hyperlink"/>
          </w:rPr>
          <w:t xml:space="preserve">https://www.pac.dfo-mpo.gc.ca/fm-gp/salmon-saumon/docs/trilat-agreement-accord/declaration-eng.html</w:t>
        </w:r>
      </w:hyperlink>
      <w:r>
        <w:t xml:space="preserve">.</w:t>
      </w:r>
    </w:p>
    <w:bookmarkEnd w:id="131"/>
    <w:bookmarkStart w:id="132" w:name="ref-dfo2025"/>
    <w:p>
      <w:pPr>
        <w:pStyle w:val="Bibliography"/>
      </w:pPr>
      <w:r>
        <w:t xml:space="preserve">DFO. 2025. Rebuilding plan:</w:t>
      </w:r>
      <w:r>
        <w:t xml:space="preserve"> </w:t>
      </w:r>
      <w:r>
        <w:t xml:space="preserve">West Coast</w:t>
      </w:r>
      <w:r>
        <w:t xml:space="preserve"> </w:t>
      </w:r>
      <w:r>
        <w:t xml:space="preserve">of</w:t>
      </w:r>
      <w:r>
        <w:t xml:space="preserve"> </w:t>
      </w:r>
      <w:r>
        <w:t xml:space="preserve">Vancouver Island Chinook</w:t>
      </w:r>
      <w:r>
        <w:t xml:space="preserve">,</w:t>
      </w:r>
      <w:r>
        <w:t xml:space="preserve"> </w:t>
      </w:r>
      <w:r>
        <w:t xml:space="preserve">Oncorhynchus</w:t>
      </w:r>
      <w:r>
        <w:t xml:space="preserve"> </w:t>
      </w:r>
      <w:r>
        <w:t xml:space="preserve">tshawystcha,</w:t>
      </w:r>
      <w:r>
        <w:t xml:space="preserve"> </w:t>
      </w:r>
      <w:r>
        <w:t xml:space="preserve">Suuhaa</w:t>
      </w:r>
      <w:r>
        <w:t xml:space="preserve"> </w:t>
      </w:r>
      <w:r>
        <w:t xml:space="preserve">|</w:t>
      </w:r>
      <w:r>
        <w:t xml:space="preserve"> </w:t>
      </w:r>
      <w:r>
        <w:t xml:space="preserve">SȾOḰI</w:t>
      </w:r>
      <w:r>
        <w:t xml:space="preserve"> </w:t>
      </w:r>
      <w:r>
        <w:t xml:space="preserve">| sat’sam.</w:t>
      </w:r>
      <w:r>
        <w:t xml:space="preserve"> </w:t>
      </w:r>
      <w:r>
        <w:t xml:space="preserve">Fisheries and Oceans Canada</w:t>
      </w:r>
      <w:r>
        <w:t xml:space="preserve">, Vancouver, BC.</w:t>
      </w:r>
    </w:p>
    <w:bookmarkEnd w:id="132"/>
    <w:bookmarkStart w:id="133"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33"/>
    <w:bookmarkStart w:id="134"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34"/>
    <w:bookmarkStart w:id="136"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35">
        <w:r>
          <w:rPr>
            <w:rStyle w:val="Hyperlink"/>
          </w:rPr>
          <w:t xml:space="preserve">https://www.bclaws.gov.bc.ca/civix/document/id/complete/statreg/02069_01</w:t>
        </w:r>
      </w:hyperlink>
      <w:r>
        <w:t xml:space="preserve">.</w:t>
      </w:r>
    </w:p>
    <w:bookmarkEnd w:id="136"/>
    <w:bookmarkStart w:id="138"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7">
        <w:r>
          <w:rPr>
            <w:rStyle w:val="Hyperlink"/>
          </w:rPr>
          <w:t xml:space="preserve">https://waves-vagues.dfo-mpo.gc.ca/library-bibliotheque/40807071.pdf</w:t>
        </w:r>
      </w:hyperlink>
      <w:r>
        <w:t xml:space="preserve">.</w:t>
      </w:r>
    </w:p>
    <w:bookmarkEnd w:id="138"/>
    <w:bookmarkStart w:id="140"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9">
        <w:r>
          <w:rPr>
            <w:rStyle w:val="Hyperlink"/>
          </w:rPr>
          <w:t xml:space="preserve">10.1139/facets-2020-0084</w:t>
        </w:r>
      </w:hyperlink>
      <w:r>
        <w:t xml:space="preserve">.</w:t>
      </w:r>
    </w:p>
    <w:bookmarkEnd w:id="140"/>
    <w:bookmarkStart w:id="141"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41"/>
    <w:bookmarkStart w:id="143"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42">
        <w:r>
          <w:rPr>
            <w:rStyle w:val="Hyperlink"/>
          </w:rPr>
          <w:t xml:space="preserve">10.1016/j.biocon.2013.07.006</w:t>
        </w:r>
      </w:hyperlink>
      <w:r>
        <w:t xml:space="preserve">.</w:t>
      </w:r>
    </w:p>
    <w:bookmarkEnd w:id="143"/>
    <w:bookmarkStart w:id="145"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44">
        <w:r>
          <w:rPr>
            <w:rStyle w:val="Hyperlink"/>
          </w:rPr>
          <w:t xml:space="preserve">https://publications.gc.ca/collections/collection_2021/parl/xc51-1/XC51-1-1-432-5-eng.pdf</w:t>
        </w:r>
      </w:hyperlink>
      <w:r>
        <w:t xml:space="preserve">.</w:t>
      </w:r>
    </w:p>
    <w:bookmarkEnd w:id="145"/>
    <w:bookmarkStart w:id="147"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6">
        <w:r>
          <w:rPr>
            <w:rStyle w:val="Hyperlink"/>
          </w:rPr>
          <w:t xml:space="preserve">https://laws-lois.justice.gc.ca/PDF/F-14.pdf</w:t>
        </w:r>
      </w:hyperlink>
      <w:r>
        <w:t xml:space="preserve">.</w:t>
      </w:r>
    </w:p>
    <w:bookmarkEnd w:id="147"/>
    <w:bookmarkStart w:id="149"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8">
        <w:r>
          <w:rPr>
            <w:rStyle w:val="Hyperlink"/>
          </w:rPr>
          <w:t xml:space="preserve">10.1111/faf.70027</w:t>
        </w:r>
      </w:hyperlink>
      <w:r>
        <w:t xml:space="preserve">.</w:t>
      </w:r>
    </w:p>
    <w:bookmarkEnd w:id="149"/>
    <w:bookmarkStart w:id="151"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50">
        <w:r>
          <w:rPr>
            <w:rStyle w:val="Hyperlink"/>
          </w:rPr>
          <w:t xml:space="preserve">10.1139/cjfas-2017-0127</w:t>
        </w:r>
      </w:hyperlink>
      <w:r>
        <w:t xml:space="preserve">.</w:t>
      </w:r>
    </w:p>
    <w:bookmarkEnd w:id="151"/>
    <w:bookmarkStart w:id="153"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52">
        <w:r>
          <w:rPr>
            <w:rStyle w:val="Hyperlink"/>
          </w:rPr>
          <w:t xml:space="preserve">https://www.bclaws.gov.bc.ca/civix/content/amr/amr/2067365574/?xsl=/templates/browse.xsl</w:t>
        </w:r>
      </w:hyperlink>
      <w:r>
        <w:t xml:space="preserve">.</w:t>
      </w:r>
    </w:p>
    <w:bookmarkEnd w:id="153"/>
    <w:bookmarkStart w:id="155"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54">
        <w:r>
          <w:rPr>
            <w:rStyle w:val="Hyperlink"/>
          </w:rPr>
          <w:t xml:space="preserve">10.1139/facets-2020-0075</w:t>
        </w:r>
      </w:hyperlink>
      <w:r>
        <w:t xml:space="preserve">.</w:t>
      </w:r>
    </w:p>
    <w:bookmarkEnd w:id="155"/>
    <w:bookmarkStart w:id="157" w:name="ref-salafsky2024"/>
    <w:p>
      <w:pPr>
        <w:pStyle w:val="Bibliography"/>
      </w:pPr>
      <w:r>
        <w:t xml:space="preserve">Salafsky, N., Relton, C., Young, B.E., Lamarre, P., Böhm, M., Chénier, M., Cochrane, E., Dionne, M., He, K.K., Hilton‐Taylor, C., Latrémouille, C., Morrison, J., Raymond, C.V., Seddon, M., and Suresh, V. 2024. Classification of direct threats to the conservation of ecosystems and species 4.0. Conservation Biology</w:t>
      </w:r>
      <w:r>
        <w:t xml:space="preserve"> </w:t>
      </w:r>
      <w:r>
        <w:rPr>
          <w:b/>
          <w:bCs/>
        </w:rPr>
        <w:t xml:space="preserve">39</w:t>
      </w:r>
      <w:r>
        <w:t xml:space="preserve">(3): e14434. doi:</w:t>
      </w:r>
      <w:hyperlink r:id="rId156">
        <w:r>
          <w:rPr>
            <w:rStyle w:val="Hyperlink"/>
          </w:rPr>
          <w:t xml:space="preserve">10.1111/cobi.14434</w:t>
        </w:r>
      </w:hyperlink>
      <w:r>
        <w:t xml:space="preserve">.</w:t>
      </w:r>
    </w:p>
    <w:bookmarkEnd w:id="157"/>
    <w:bookmarkStart w:id="159"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8">
        <w:r>
          <w:rPr>
            <w:rStyle w:val="Hyperlink"/>
          </w:rPr>
          <w:t xml:space="preserve">10.1111/j.1523-1739.2008.00937.x</w:t>
        </w:r>
      </w:hyperlink>
      <w:r>
        <w:t xml:space="preserve">.</w:t>
      </w:r>
    </w:p>
    <w:bookmarkEnd w:id="159"/>
    <w:bookmarkStart w:id="161"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60">
        <w:r>
          <w:rPr>
            <w:rStyle w:val="Hyperlink"/>
          </w:rPr>
          <w:t xml:space="preserve">10.1139/facets-2022-0095</w:t>
        </w:r>
      </w:hyperlink>
      <w:r>
        <w:t xml:space="preserve">.</w:t>
      </w:r>
    </w:p>
    <w:bookmarkEnd w:id="161"/>
    <w:bookmarkStart w:id="162"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62"/>
    <w:bookmarkStart w:id="164"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63">
        <w:r>
          <w:rPr>
            <w:rStyle w:val="Hyperlink"/>
          </w:rPr>
          <w:t xml:space="preserve">10.1139/facets-2020-0064</w:t>
        </w:r>
      </w:hyperlink>
      <w:r>
        <w:t xml:space="preserve">.</w:t>
      </w:r>
    </w:p>
    <w:bookmarkEnd w:id="164"/>
    <w:bookmarkStart w:id="166"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65">
        <w:r>
          <w:rPr>
            <w:rStyle w:val="Hyperlink"/>
          </w:rPr>
          <w:t xml:space="preserve">10.1139/facets-2024-0348</w:t>
        </w:r>
      </w:hyperlink>
      <w:r>
        <w:t xml:space="preserve">.</w:t>
      </w:r>
    </w:p>
    <w:bookmarkEnd w:id="166"/>
    <w:bookmarkEnd w:id="167"/>
    <w:bookmarkEnd w:id="168"/>
    <w:bookmarkStart w:id="169" w:name="supplementary-material"/>
    <w:p>
      <w:pPr>
        <w:pStyle w:val="Heading1"/>
      </w:pPr>
      <w:r>
        <w:t xml:space="preserve">Supplementary material</w:t>
      </w:r>
    </w:p>
    <w:p>
      <w:pPr>
        <w:pStyle w:val="Compact"/>
        <w:numPr>
          <w:ilvl w:val="0"/>
          <w:numId w:val="1023"/>
        </w:numPr>
      </w:pPr>
      <w:r>
        <w:rPr>
          <w:b/>
          <w:bCs/>
        </w:rPr>
        <w:t xml:space="preserve">Links or downloads for the LAPSE tool materials (app etc.)</w:t>
      </w:r>
    </w:p>
    <w:bookmarkEnd w:id="169"/>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406A2"/>
    <w:rsid w:val="00564D74"/>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DA0A6F"/>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styleId="TOCHeading" w:type="paragraph">
    <w:name w:val="TOC Heading"/>
    <w:basedOn w:val="Heading1"/>
    <w:next w:val="Normal"/>
    <w:uiPriority w:val="39"/>
    <w:semiHidden/>
    <w:unhideWhenUsed/>
    <w:qFormat/>
    <w:rsid w:val="005406A2"/>
    <w:pPr>
      <w:spacing w:after="0" w:before="240"/>
      <w:outlineLvl w:val="9"/>
    </w:pPr>
    <w:rPr>
      <w:szCs w:val="32"/>
    </w:r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6"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58"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3" Target="https://doi.org/10.1139/facets-2020-0064" TargetMode="External" /><Relationship Type="http://schemas.openxmlformats.org/officeDocument/2006/relationships/hyperlink" Id="rId154" Target="https://doi.org/10.1139/facets-2020-0075" TargetMode="External" /><Relationship Type="http://schemas.openxmlformats.org/officeDocument/2006/relationships/hyperlink" Id="rId139" Target="https://doi.org/10.1139/facets-2020-0084" TargetMode="External" /><Relationship Type="http://schemas.openxmlformats.org/officeDocument/2006/relationships/hyperlink" Id="rId160"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5"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22" Target="https://waves-vagues.dfo-mpo.gc.ca/library-bibliotheque/315577.pdf" TargetMode="External" /><Relationship Type="http://schemas.openxmlformats.org/officeDocument/2006/relationships/hyperlink" Id="rId137" Target="https://waves-vagues.dfo-mpo.gc.ca/library-bibliotheque/40807071.pdf" TargetMode="External" /><Relationship Type="http://schemas.openxmlformats.org/officeDocument/2006/relationships/hyperlink" Id="rId124"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5"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6" Target="https://www.dfo-mpo.gc.ca/fisheries-peches/ifmp-gmp/salmon-saumon/2024/okanagan-2024-eng.html" TargetMode="External" /><Relationship Type="http://schemas.openxmlformats.org/officeDocument/2006/relationships/hyperlink" Id="rId128"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130" Target="https://www.pac.dfo-mpo.gc.ca/fm-gp/salmon-saumon/docs/trilat-agreement-accord/declaration-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4"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42"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6" Target="https://doi.org/10.1111/cobi.14434" TargetMode="External" /><Relationship Type="http://schemas.openxmlformats.org/officeDocument/2006/relationships/hyperlink" Id="rId148" Target="https://doi.org/10.1111/faf.70027" TargetMode="External" /><Relationship Type="http://schemas.openxmlformats.org/officeDocument/2006/relationships/hyperlink" Id="rId158" Target="https://doi.org/10.1111/j.1523-1739.2008.00937.x" TargetMode="External" /><Relationship Type="http://schemas.openxmlformats.org/officeDocument/2006/relationships/hyperlink" Id="rId150" Target="https://doi.org/10.1139/cjfas-2017-0127" TargetMode="External" /><Relationship Type="http://schemas.openxmlformats.org/officeDocument/2006/relationships/hyperlink" Id="rId163" Target="https://doi.org/10.1139/facets-2020-0064" TargetMode="External" /><Relationship Type="http://schemas.openxmlformats.org/officeDocument/2006/relationships/hyperlink" Id="rId154" Target="https://doi.org/10.1139/facets-2020-0075" TargetMode="External" /><Relationship Type="http://schemas.openxmlformats.org/officeDocument/2006/relationships/hyperlink" Id="rId139" Target="https://doi.org/10.1139/facets-2020-0084" TargetMode="External" /><Relationship Type="http://schemas.openxmlformats.org/officeDocument/2006/relationships/hyperlink" Id="rId160"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65"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6"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44" Target="https://publications.gc.ca/collections/collection_2021/parl/xc51-1/XC51-1-1-432-5-eng.pdf" TargetMode="External" /><Relationship Type="http://schemas.openxmlformats.org/officeDocument/2006/relationships/hyperlink" Id="rId122" Target="https://waves-vagues.dfo-mpo.gc.ca/library-bibliotheque/315577.pdf" TargetMode="External" /><Relationship Type="http://schemas.openxmlformats.org/officeDocument/2006/relationships/hyperlink" Id="rId137" Target="https://waves-vagues.dfo-mpo.gc.ca/library-bibliotheque/40807071.pdf" TargetMode="External" /><Relationship Type="http://schemas.openxmlformats.org/officeDocument/2006/relationships/hyperlink" Id="rId124" Target="https://waves-vagues.dfo-mpo.gc.ca/library-bibliotheque/41031209.pdf" TargetMode="External" /><Relationship Type="http://schemas.openxmlformats.org/officeDocument/2006/relationships/hyperlink" Id="rId152" Target="https://www.bclaws.gov.bc.ca/civix/content/amr/amr/2067365574/?xsl=/templates/browse.xsl" TargetMode="External" /><Relationship Type="http://schemas.openxmlformats.org/officeDocument/2006/relationships/hyperlink" Id="rId135"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26" Target="https://www.dfo-mpo.gc.ca/fisheries-peches/ifmp-gmp/salmon-saumon/2024/okanagan-2024-eng.html" TargetMode="External" /><Relationship Type="http://schemas.openxmlformats.org/officeDocument/2006/relationships/hyperlink" Id="rId128" Target="https://www.dfo-mpo.gc.ca/reports-rapports/regs/sff-cpd/precautionary-precaution-eng.htm"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130" Target="https://www.pac.dfo-mpo.gc.ca/fm-gp/salmon-saumon/docs/trilat-agreement-accord/declaration-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2026-01-22T18:30:03Z</dcterms:created>
  <dcterms:modified xsi:type="dcterms:W3CDTF">2026-01-22T18:30:03Z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2026-01-22</vt:lpwstr>
  </property>
  <property fmtid="{D5CDD505-2E9C-101B-9397-08002B2CF9AE}" pid="5" name="language">
    <vt:lpwstr/>
  </property>
  <property fmtid="{D5CDD505-2E9C-101B-9397-08002B2CF9AE}" pid="6" name="output">
    <vt:lpwstr/>
  </property>
</Properties>
</file>