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33.png" ContentType="image/png"/>
  <Override PartName="/word/media/rId72.png" ContentType="image/png"/>
  <Override PartName="/word/media/rId77.png" ContentType="image/png"/>
  <Override PartName="/word/media/rId83.png" ContentType="image/png"/>
  <Override PartName="/word/media/rId20.png" ContentType="image/png"/>
  <Override PartName="/word/media/rId24.png" ContentType="image/png"/>
  <Override PartName="/word/media/rId53.png" ContentType="image/png"/>
  <Override PartName="/word/media/rId58.png" ContentType="image/png"/>
  <Override PartName="/word/media/rId4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2026-01-05</w:t>
      </w:r>
    </w:p>
    <w:bookmarkStart w:id="32" w:name="introduction"/>
    <w:p>
      <w:pPr>
        <w:pStyle w:val="Heading1"/>
      </w:pPr>
      <w:r>
        <w:t xml:space="preserve">Introduction</w:t>
      </w:r>
    </w:p>
    <w:bookmarkStart w:id="28"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their geographically widespread, anadromous life cycle that spans international boundaries and freshwater and marine ecosystems. While salmon and salmon fisheries are regulated federally, water use and watercourse management and the corresponding aquatic habitat is managed by the provinces. However, watercourse management is not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Compact"/>
        <w:numPr>
          <w:ilvl w:val="0"/>
          <w:numId w:val="1001"/>
        </w:numPr>
      </w:pPr>
      <w:r>
        <w:rPr>
          <w:b/>
          <w:bCs/>
        </w:rPr>
        <w:t xml:space="preserve">need to format these charts better. Overlapping font. Maybe side-by-side charts? Or just one chart as an example?</w:t>
      </w:r>
    </w:p>
    <w:p>
      <w:pPr>
        <w:pStyle w:val="FirstParagraph"/>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w:t>
      </w:r>
      <w:r>
        <w:t xml:space="preserve"> </w:t>
      </w:r>
      <w:r>
        <w:t xml:space="preserve">(Ulaski et al. 2025)</w:t>
      </w:r>
      <w:r>
        <w:t xml:space="preserv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X97ee571fad33b77695a285dcc3cc021aa783b7a"/>
    <w:p>
      <w:pPr>
        <w:pStyle w:val="Heading2"/>
      </w:pPr>
      <w:r>
        <w:t xml:space="preserve">Complexity in addressing declines of Pacific Salmon</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the Pacific Salmon Strategy Initiative</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declines in Canada are varied and have been the subject of numerous studies and reviews over the last few decades (e.g. the Cohen Commission 2010, Report of the Standing Committee On Fisheries and Oceans 2021,</w:t>
      </w:r>
      <w:r>
        <w:t xml:space="preserve">(Grant et al. 2019)</w:t>
      </w:r>
      <w:r>
        <w:t xml:space="preserve">). Declines are recognized as a consequence of human activity, including the loss or degradation of freshwater habitat</w:t>
      </w:r>
      <w:r>
        <w:t xml:space="preserve"> </w:t>
      </w:r>
      <w:r>
        <w:t xml:space="preserve">(Bisson et al. 2009)</w:t>
      </w:r>
      <w:r>
        <w:t xml:space="preserve">, unsustainable fisheries harvest, and climate change.</w:t>
      </w:r>
    </w:p>
    <w:p>
      <w:pPr>
        <w:pStyle w:val="BodyText"/>
      </w:pPr>
      <w:r>
        <w:t xml:space="preserve">In response to declines, commercial fisheries harvests have been substantially curtailed in recent decades</w:t>
      </w:r>
      <w:r>
        <w:t xml:space="preserve"> </w:t>
      </w:r>
      <w:r>
        <w:t xml:space="preserve">(Del Valle et al. 2024)</w:t>
      </w:r>
      <w:r>
        <w:t xml:space="preserve"> </w:t>
      </w:r>
      <w:r>
        <w:t xml:space="preserve">as Fisheries and Oceans Canada aims to manage fisheries to preserve biodiversity in a manner consistent with the Wild Salmon Policy and the Precautionary Approach. Fisheries, particularly commercial fisheries, are legislated under the distinct authority of the Fisheries Act where laws and regulations prescribe how, when, and where fisheries harvest may occur within Canadian waters. There is no ambiguity in jurisdiction or responsibility, at least for fisheries intercepting Pacific salmon within Canada, therefore fisheries harvest impacts can be adjusted relatively easily in response to declines or changing abundances. Fisheries also result in direct mortality to salmon, therefore, impacts can be directly measured and managed using quantifiable targets, assuming adequate monitoring information is collected.</w:t>
      </w:r>
    </w:p>
    <w:p>
      <w:pPr>
        <w:pStyle w:val="BodyText"/>
      </w:pPr>
      <w:r>
        <w:t xml:space="preserve">By contrast, 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 Local activities, such as forestry and urbanisation, act cumulatively and compound with climate changes to degrade salmon watersheds, threatening their ability to sustain salmon abundance and diversity</w:t>
      </w:r>
      <w:r>
        <w:t xml:space="preserve"> </w:t>
      </w:r>
      <w:r>
        <w:t xml:space="preserve">(Moore et al. 2025)</w:t>
      </w:r>
      <w:r>
        <w:t xml:space="preserve">. Impacts from activities are often indirect, requiring monitoring and long-term studies to identify with confidence</w:t>
      </w:r>
      <w:r>
        <w:t xml:space="preserve"> </w:t>
      </w:r>
      <w:r>
        <w:t xml:space="preserve">(Ulaski et al. 2025)</w:t>
      </w:r>
      <w:r>
        <w:t xml:space="preserve">. 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under the Forestry Act, water licensing under the Water Sustainability Act, environmental assessment of a mine under the Environmental Assessment Act, enforcement of activities that cause harm to salmon habitat under the Fisheries Act ….</w:t>
      </w:r>
    </w:p>
    <w:p>
      <w:pPr>
        <w:pStyle w:val="BodyText"/>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 RAMS citation?]. While varied in their approaches, these frameworks generally aim to be comprehensive in assessing the wide range of threats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 Direct Threats Classification</w:t>
      </w:r>
      <w:r>
        <w:t xml:space="preserve"> </w:t>
      </w:r>
      <w:r>
        <w:t xml:space="preserve">(Salafsky et al. 2008)</w:t>
      </w:r>
      <w:r>
        <w:t xml:space="preserve">, which is applied for Recovery Potential Assessments as part of Species at Risk Act listing processes and for COSEWIC 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 impactful and feasible across the wide geographic range and diverse life history of Pacific salmon. In many cases, regulatory complexity, ambiguous responsibility, and dispersed authority become barriers to effective and timely action.</w:t>
      </w:r>
    </w:p>
    <w:bookmarkEnd w:id="29"/>
    <w:bookmarkStart w:id="31"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30">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BodyText"/>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31"/>
    <w:bookmarkEnd w:id="32"/>
    <w:bookmarkStart w:id="37"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4" name="Picture"/>
            <a:graphic>
              <a:graphicData uri="http://schemas.openxmlformats.org/drawingml/2006/picture">
                <pic:pic>
                  <pic:nvPicPr>
                    <pic:cNvPr descr="../assets/Management%20Domain%20Flowchart.png" id="35" name="Picture"/>
                    <pic:cNvPicPr>
                      <a:picLocks noChangeArrowheads="1" noChangeAspect="1"/>
                    </pic:cNvPicPr>
                  </pic:nvPicPr>
                  <pic:blipFill>
                    <a:blip r:embed="rId33"/>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6" w:name="fig:fig-flowchart-image"/>
      <w:bookmarkEnd w:id="36"/>
      <w:r>
        <w:t xml:space="preserve">Figure 3: Flowchart showing alignment of IUCN Level 2 threat categories with Management Domain in relation to legislation and jurisdiction.</w:t>
      </w:r>
    </w:p>
    <w:bookmarkEnd w:id="37"/>
    <w:bookmarkStart w:id="47"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39"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BodyText"/>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BodyText"/>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8" w:name="tab:legislation-summary-table"/>
      <w:bookmarkEnd w:id="38"/>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39"/>
    <w:bookmarkStart w:id="44"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 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bookmarkEnd w:id="44"/>
    <w:bookmarkStart w:id="45"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2"/>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6"/>
    <w:bookmarkEnd w:id="47"/>
    <w:bookmarkStart w:id="68"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8" w:name="tab:management-domain-tally"/>
      <w:bookmarkEnd w:id="48"/>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Start w:id="57"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 threat category, separated by jurisdiction.</w:t>
      </w:r>
    </w:p>
    <w:bookmarkEnd w:id="57"/>
    <w:bookmarkStart w:id="67"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59" name="Picture"/>
            <a:graphic>
              <a:graphicData uri="http://schemas.openxmlformats.org/drawingml/2006/picture">
                <pic:pic>
                  <pic:nvPicPr>
                    <pic:cNvPr descr="LAPSE_primary_publication_files/figure-docx/multiscope-donut-1.png" id="60" name="Picture"/>
                    <pic:cNvPicPr>
                      <a:picLocks noChangeArrowheads="1" noChangeAspect="1"/>
                    </pic:cNvPicPr>
                  </pic:nvPicPr>
                  <pic:blipFill>
                    <a:blip r:embed="rId58"/>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1" w:name="fig:multiscope-donut"/>
      <w:bookmarkEnd w:id="61"/>
      <w:r>
        <w:t xml:space="preserve">Figure 7: Proportion of sections by management domain, displayed as concentric rings representing scope categories (inner to outer: 1 - Salmon, 2 - Fish, 3 - Habitat, 4 - Governance).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2" w:name="tab:scope-tally"/>
      <w:bookmarkEnd w:id="62"/>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4" name="Picture"/>
            <a:graphic>
              <a:graphicData uri="http://schemas.openxmlformats.org/drawingml/2006/picture">
                <pic:pic>
                  <pic:nvPicPr>
                    <pic:cNvPr descr="LAPSE_primary_publication_files/figure-docx/section-count-salmon-scope-1.png" id="65" name="Picture"/>
                    <pic:cNvPicPr>
                      <a:picLocks noChangeArrowheads="1" noChangeAspect="1"/>
                    </pic:cNvPicPr>
                  </pic:nvPicPr>
                  <pic:blipFill>
                    <a:blip r:embed="rId6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6" w:name="fig:section-count-salmon-scope"/>
      <w:bookmarkEnd w:id="66"/>
      <w:r>
        <w:t xml:space="preserve">Figure 8: Count of sections by legislation for scope category</w:t>
      </w:r>
      <w:r>
        <w:t xml:space="preserve"> </w:t>
      </w:r>
      <w:r>
        <w:t xml:space="preserve">‘</w:t>
      </w:r>
      <w:r>
        <w:t xml:space="preserve">1 - Salmon</w:t>
      </w:r>
      <w:r>
        <w:t xml:space="preserve">’</w:t>
      </w:r>
      <w:r>
        <w:t xml:space="preserve">, coloured by jurisdiction.</w:t>
      </w:r>
    </w:p>
    <w:p>
      <w:pPr>
        <w:pStyle w:val="BodyText"/>
      </w:pPr>
      <w:r>
        <w:br/>
      </w:r>
    </w:p>
    <w:bookmarkEnd w:id="67"/>
    <w:bookmarkEnd w:id="68"/>
    <w:bookmarkStart w:id="70"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9" w:name="tab:clause-type-with-domain-tally"/>
      <w:bookmarkEnd w:id="69"/>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70"/>
    <w:bookmarkStart w:id="88" w:name="X3d1f28ebf57a42a02e6321b912ef3127a66a1d5"/>
    <w:p>
      <w:pPr>
        <w:pStyle w:val="Heading1"/>
      </w:pPr>
      <w:r>
        <w:t xml:space="preserve">Recovery potential assessments (RPA) and threat ranking case studies</w:t>
      </w:r>
    </w:p>
    <w:p>
      <w:pPr>
        <w:pStyle w:val="FirstParagraph"/>
      </w:pPr>
      <w:r>
        <w:t xml:space="preserve">The</w:t>
      </w:r>
      <w:r>
        <w:t xml:space="preserve"> </w:t>
      </w:r>
      <w:r>
        <w:rPr>
          <w:i/>
          <w:iCs/>
        </w:rPr>
        <w:t xml:space="preserve">Committee on the Status of Endangered Wildlife in Canada</w:t>
      </w:r>
      <w:r>
        <w:t xml:space="preserve"> </w:t>
      </w:r>
      <w:r>
        <w:t xml:space="preserve">(COSEWIC) assesses the current status of aquatic species, including Pacific salmon stocks, as part of the</w:t>
      </w:r>
      <w:r>
        <w:t xml:space="preserve"> </w:t>
      </w:r>
      <w:r>
        <w:rPr>
          <w:i/>
          <w:iCs/>
        </w:rPr>
        <w:t xml:space="preserve">Species at Risk Act</w:t>
      </w:r>
      <w:r>
        <w:t xml:space="preserve"> </w:t>
      </w:r>
      <w:r>
        <w:t xml:space="preserve">(SARA) process</w:t>
      </w:r>
      <w:r>
        <w:t xml:space="preserve"> </w:t>
      </w:r>
      <w:r>
        <w:t xml:space="preserve">(Arbeider et al. 2020)</w:t>
      </w:r>
      <w:r>
        <w:t xml:space="preserve">. Salmon populations are grouped into genetically and ecologically distinct Diagnostic Units (DU) for the purpose of assessment. When a DU is classified as</w:t>
      </w:r>
      <w:r>
        <w:t xml:space="preserve"> </w:t>
      </w:r>
      <w:r>
        <w:t xml:space="preserve">“</w:t>
      </w:r>
      <w:r>
        <w:t xml:space="preserve">Threatened, Endangered or Extirpated</w:t>
      </w:r>
      <w:r>
        <w:t xml:space="preserve">”</w:t>
      </w:r>
      <w:r>
        <w:t xml:space="preserve">,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 (Table</w:t>
      </w:r>
      <w:r>
        <w:t xml:space="preserve"> </w:t>
      </w:r>
      <w:r>
        <w:t xml:space="preserve">5</w:t>
      </w:r>
      <w:r>
        <w:t xml:space="preserve">).</w:t>
      </w:r>
    </w:p>
    <w:p>
      <w:pPr>
        <w:pStyle w:val="TableCaption"/>
      </w:pPr>
      <w:bookmarkStart w:id="71" w:name="tab:cu-species-cu-name-table"/>
      <w:bookmarkEnd w:id="71"/>
      <w:r>
        <w:t xml:space="preserve">Table 5:</w:t>
      </w:r>
      <w:r>
        <w:t xml:space="preserve"> </w:t>
      </w:r>
      <w:r>
        <w:t xml:space="preserve">Conservation Units included in the COSEWIC Recovery Potential Assessment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pStyle w:val="BodyText"/>
      </w:pPr>
      <w:r>
        <w:br/>
      </w:r>
    </w:p>
    <w:p>
      <w:pPr>
        <w:pStyle w:val="BodyText"/>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3" name="Picture"/>
            <a:graphic>
              <a:graphicData uri="http://schemas.openxmlformats.org/drawingml/2006/picture">
                <pic:pic>
                  <pic:nvPicPr>
                    <pic:cNvPr descr="LAPSE_primary_publication_files/figure-docx/cu-ranking-heatmap-1.png" id="74" name="Picture"/>
                    <pic:cNvPicPr>
                      <a:picLocks noChangeArrowheads="1" noChangeAspect="1"/>
                    </pic:cNvPicPr>
                  </pic:nvPicPr>
                  <pic:blipFill>
                    <a:blip r:embed="rId72"/>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5" w:name="fig:cu-ranking-heatmap"/>
      <w:bookmarkEnd w:id="75"/>
      <w:r>
        <w:t xml:space="preserve">Figure 9: Conservation Unit count across IUCN threat categories and RPA threat rankings. Darker cells indicate more Conservation Units assessed at that threat level.</w:t>
      </w:r>
    </w:p>
    <w:bookmarkStart w:id="81"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w:t>
      </w:r>
      <w:r>
        <w:t xml:space="preserve"> </w:t>
      </w:r>
      <w:r>
        <w:t xml:space="preserve">(DFO 2020, 2022)</w:t>
      </w:r>
      <w:r>
        <w:t xml:space="preserve">:</w:t>
      </w:r>
    </w:p>
    <w:p>
      <w:pPr>
        <w:pStyle w:val="TableCaption"/>
      </w:pPr>
      <w:bookmarkStart w:id="76" w:name="tab:cu-extreme-threat-table"/>
      <w:bookmarkEnd w:id="76"/>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br/>
      </w:r>
    </w:p>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78" name="Picture"/>
            <a:graphic>
              <a:graphicData uri="http://schemas.openxmlformats.org/drawingml/2006/picture">
                <pic:pic>
                  <pic:nvPicPr>
                    <pic:cNvPr descr="LAPSE_primary_publication_files/figure-docx/fig-clause-type-geological-events-1.png" id="79" name="Picture"/>
                    <pic:cNvPicPr>
                      <a:picLocks noChangeArrowheads="1" noChangeAspect="1"/>
                    </pic:cNvPicPr>
                  </pic:nvPicPr>
                  <pic:blipFill>
                    <a:blip r:embed="rId77"/>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0" w:name="fig:fig-clause-type-geological-events"/>
      <w:bookmarkEnd w:id="80"/>
      <w:r>
        <w:t xml:space="preserve">Figure 10: Section counts by clause type for IUCN threat category 10.1 Geological Events.</w:t>
      </w:r>
    </w:p>
    <w:p>
      <w:pPr>
        <w:numPr>
          <w:ilvl w:val="0"/>
          <w:numId w:val="1003"/>
        </w:numPr>
      </w:pPr>
      <w:r>
        <w:rPr>
          <w:b/>
          <w:bCs/>
        </w:rPr>
        <w:t xml:space="preserve">Add more description of Big Bar slide</w:t>
      </w:r>
    </w:p>
    <w:p>
      <w:pPr>
        <w:numPr>
          <w:ilvl w:val="0"/>
          <w:numId w:val="1003"/>
        </w:numPr>
      </w:pPr>
      <w:r>
        <w:rPr>
          <w:b/>
          <w:bCs/>
        </w:rPr>
        <w:t xml:space="preserve">Comment on the most relevant legislation and why</w:t>
      </w:r>
    </w:p>
    <w:bookmarkEnd w:id="81"/>
    <w:bookmarkStart w:id="87"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7</w:t>
      </w:r>
      <w:r>
        <w:t xml:space="preserve">).</w:t>
      </w:r>
    </w:p>
    <w:p>
      <w:pPr>
        <w:pStyle w:val="TableCaption"/>
      </w:pPr>
      <w:bookmarkStart w:id="82" w:name="tab:cu-extreme-high-threat-table"/>
      <w:bookmarkEnd w:id="82"/>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4" name="Picture"/>
            <a:graphic>
              <a:graphicData uri="http://schemas.openxmlformats.org/drawingml/2006/picture">
                <pic:pic>
                  <pic:nvPicPr>
                    <pic:cNvPr descr="LAPSE_primary_publication_files/figure-docx/fig-clause-type-water-use-1.png" id="85" name="Picture"/>
                    <pic:cNvPicPr>
                      <a:picLocks noChangeArrowheads="1" noChangeAspect="1"/>
                    </pic:cNvPicPr>
                  </pic:nvPicPr>
                  <pic:blipFill>
                    <a:blip r:embed="rId8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6" w:name="fig:fig-clause-type-water-use"/>
      <w:bookmarkEnd w:id="86"/>
      <w:r>
        <w:t xml:space="preserve">Figure 11: Section counts by clause type for IUCN threat category 7.2 Dams &amp; Water Management / Use.</w:t>
      </w:r>
    </w:p>
    <w:p>
      <w:pPr>
        <w:numPr>
          <w:ilvl w:val="0"/>
          <w:numId w:val="1004"/>
        </w:numPr>
      </w:pPr>
      <w:r>
        <w:rPr>
          <w:b/>
          <w:bCs/>
        </w:rPr>
        <w:t xml:space="preserve">add more description of Bessette Creek</w:t>
      </w:r>
    </w:p>
    <w:p>
      <w:pPr>
        <w:numPr>
          <w:ilvl w:val="0"/>
          <w:numId w:val="1004"/>
        </w:numPr>
      </w:pPr>
      <w:r>
        <w:rPr>
          <w:b/>
          <w:bCs/>
        </w:rPr>
        <w:t xml:space="preserve">Comment on the most relevant legislation and why</w:t>
      </w:r>
    </w:p>
    <w:bookmarkEnd w:id="87"/>
    <w:bookmarkEnd w:id="88"/>
    <w:bookmarkStart w:id="89"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89"/>
    <w:bookmarkStart w:id="91"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0" w:name="conclusions"/>
    <w:p>
      <w:pPr>
        <w:pStyle w:val="Heading2"/>
      </w:pPr>
      <w:r>
        <w:t xml:space="preserve">Conclusions</w:t>
      </w:r>
    </w:p>
    <w:p>
      <w:pPr>
        <w:pStyle w:val="FirstParagraph"/>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management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management decisions and administrative responsibility.</w:t>
      </w:r>
    </w:p>
    <w:bookmarkEnd w:id="90"/>
    <w:bookmarkEnd w:id="91"/>
    <w:bookmarkStart w:id="144" w:name="references"/>
    <w:p>
      <w:pPr>
        <w:pStyle w:val="Heading1"/>
      </w:pPr>
      <w:r>
        <w:t xml:space="preserve">References</w:t>
      </w:r>
    </w:p>
    <w:bookmarkStart w:id="143" w:name="refs"/>
    <w:bookmarkStart w:id="92"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2"/>
    <w:bookmarkStart w:id="94"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3">
        <w:r>
          <w:rPr>
            <w:rStyle w:val="Hyperlink"/>
          </w:rPr>
          <w:t xml:space="preserve">10.1101/2024.12.01.626233</w:t>
        </w:r>
      </w:hyperlink>
      <w:r>
        <w:t xml:space="preserve">.</w:t>
      </w:r>
    </w:p>
    <w:bookmarkEnd w:id="94"/>
    <w:bookmarkStart w:id="96"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5">
        <w:r>
          <w:rPr>
            <w:rStyle w:val="Hyperlink"/>
          </w:rPr>
          <w:t xml:space="preserve">10.3390/su6096024</w:t>
        </w:r>
      </w:hyperlink>
      <w:r>
        <w:t xml:space="preserve">.</w:t>
      </w:r>
    </w:p>
    <w:bookmarkEnd w:id="96"/>
    <w:bookmarkStart w:id="97"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7"/>
    <w:bookmarkStart w:id="99"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98">
        <w:r>
          <w:rPr>
            <w:rStyle w:val="Hyperlink"/>
          </w:rPr>
          <w:t xml:space="preserve">10.5751/ES-02784-140145</w:t>
        </w:r>
      </w:hyperlink>
      <w:r>
        <w:t xml:space="preserve">.</w:t>
      </w:r>
    </w:p>
    <w:bookmarkEnd w:id="99"/>
    <w:bookmarkStart w:id="101"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0">
        <w:r>
          <w:rPr>
            <w:rStyle w:val="Hyperlink"/>
          </w:rPr>
          <w:t xml:space="preserve">10.1139/facets-2025-0031</w:t>
        </w:r>
      </w:hyperlink>
      <w:r>
        <w:t xml:space="preserve">.</w:t>
      </w:r>
    </w:p>
    <w:bookmarkEnd w:id="101"/>
    <w:bookmarkStart w:id="103"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2">
        <w:r>
          <w:rPr>
            <w:rStyle w:val="Hyperlink"/>
          </w:rPr>
          <w:t xml:space="preserve">10.3233/EPL-2002-32_5_13</w:t>
        </w:r>
      </w:hyperlink>
      <w:r>
        <w:t xml:space="preserve">.</w:t>
      </w:r>
    </w:p>
    <w:bookmarkEnd w:id="103"/>
    <w:bookmarkStart w:id="104"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104"/>
    <w:bookmarkStart w:id="106"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5">
        <w:r>
          <w:rPr>
            <w:rStyle w:val="Hyperlink"/>
          </w:rPr>
          <w:t xml:space="preserve">https://www.canlii.org/</w:t>
        </w:r>
      </w:hyperlink>
      <w:r>
        <w:t xml:space="preserve"> </w:t>
      </w:r>
      <w:r>
        <w:t xml:space="preserve">[accessed 18 December 2025].</w:t>
      </w:r>
    </w:p>
    <w:bookmarkEnd w:id="106"/>
    <w:bookmarkStart w:id="108"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 pacific salmon populations in a large watershed under multiple stressors. Journal of Applied Ecology (November 2021): 2212–2226. doi:</w:t>
      </w:r>
      <w:hyperlink r:id="rId107">
        <w:r>
          <w:rPr>
            <w:rStyle w:val="Hyperlink"/>
          </w:rPr>
          <w:t xml:space="preserve">10.1111/1365-2664.14239</w:t>
        </w:r>
      </w:hyperlink>
      <w:r>
        <w:t xml:space="preserve">.</w:t>
      </w:r>
    </w:p>
    <w:bookmarkEnd w:id="108"/>
    <w:bookmarkStart w:id="109"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09"/>
    <w:bookmarkStart w:id="111"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0">
        <w:r>
          <w:rPr>
            <w:rStyle w:val="Hyperlink"/>
          </w:rPr>
          <w:t xml:space="preserve">10.1016/j.tree.2014.12.004</w:t>
        </w:r>
      </w:hyperlink>
      <w:r>
        <w:t xml:space="preserve">.</w:t>
      </w:r>
    </w:p>
    <w:bookmarkEnd w:id="111"/>
    <w:bookmarkStart w:id="113" w:name="ref-delvalle2024"/>
    <w:p>
      <w:pPr>
        <w:pStyle w:val="Bibliography"/>
      </w:pPr>
      <w:r>
        <w:t xml:space="preserve">Del Valle, E., Neal, B., Martínez-Candelas, I., Dann, P., Webb, D., and McClenachan, L. 2024. Fishing in turbulent waters: Resilience, risk, and trust in british columbia</w:t>
      </w:r>
      <w:r>
        <w:t xml:space="preserve">’</w:t>
      </w:r>
      <w:r>
        <w:t xml:space="preserve">s declining commercial salmon fishery. Facets</w:t>
      </w:r>
      <w:r>
        <w:t xml:space="preserve"> </w:t>
      </w:r>
      <w:r>
        <w:rPr>
          <w:b/>
          <w:bCs/>
        </w:rPr>
        <w:t xml:space="preserve">9</w:t>
      </w:r>
      <w:r>
        <w:t xml:space="preserve">(1): 1–17. doi:</w:t>
      </w:r>
      <w:hyperlink r:id="rId112">
        <w:r>
          <w:rPr>
            <w:rStyle w:val="Hyperlink"/>
          </w:rPr>
          <w:t xml:space="preserve">10.1139/facets-2023-0204</w:t>
        </w:r>
      </w:hyperlink>
      <w:r>
        <w:t xml:space="preserve">.</w:t>
      </w:r>
    </w:p>
    <w:bookmarkEnd w:id="113"/>
    <w:bookmarkStart w:id="115"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4">
        <w:r>
          <w:rPr>
            <w:rStyle w:val="Hyperlink"/>
          </w:rPr>
          <w:t xml:space="preserve">https://www.justice.gc.ca/eng/rp-pr/csj-sjc/legis-redact/legistics/p3p1.html</w:t>
        </w:r>
      </w:hyperlink>
      <w:r>
        <w:t xml:space="preserve"> </w:t>
      </w:r>
      <w:r>
        <w:t xml:space="preserve">[accessed 18 December 2025].</w:t>
      </w:r>
    </w:p>
    <w:bookmarkEnd w:id="115"/>
    <w:bookmarkStart w:id="116"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116"/>
    <w:bookmarkStart w:id="117"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17"/>
    <w:bookmarkStart w:id="118"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18"/>
    <w:bookmarkStart w:id="119" w:name="ref-doutaz2023"/>
    <w:p>
      <w:pPr>
        <w:pStyle w:val="Bibliography"/>
      </w:pPr>
      <w:r>
        <w:t xml:space="preserve">Doutaz, D., Huang, A., Decker, S., and Vivian, T. 2023. Recovery potential assessment for fraser river sockeye salmon (oncorhynchus nerka), nine designatable units part 2: Biology, habitat, threats, mitigations and allowable harm - elements 1-11, 14, 16-18, 22.</w:t>
      </w:r>
    </w:p>
    <w:bookmarkEnd w:id="119"/>
    <w:bookmarkStart w:id="120" w:name="ref-grant2019"/>
    <w:p>
      <w:pPr>
        <w:pStyle w:val="Bibliography"/>
      </w:pPr>
      <w:r>
        <w:t xml:space="preserve">Grant, S.C.H., MacDonald, B.L., and Winston, M.L. 2019. State of canadian pacific salmon: Responses to changing climate and habitats.</w:t>
      </w:r>
    </w:p>
    <w:bookmarkEnd w:id="120"/>
    <w:bookmarkStart w:id="12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21">
        <w:r>
          <w:rPr>
            <w:rStyle w:val="Hyperlink"/>
          </w:rPr>
          <w:t xml:space="preserve">10.1139/facets-2020-0084</w:t>
        </w:r>
      </w:hyperlink>
      <w:r>
        <w:t xml:space="preserve">.</w:t>
      </w:r>
    </w:p>
    <w:bookmarkEnd w:id="122"/>
    <w:bookmarkStart w:id="123"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23"/>
    <w:bookmarkStart w:id="125"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24">
        <w:r>
          <w:rPr>
            <w:rStyle w:val="Hyperlink"/>
          </w:rPr>
          <w:t xml:space="preserve">10.1016/j.biocon.2013.07.006</w:t>
        </w:r>
      </w:hyperlink>
      <w:r>
        <w:t xml:space="preserve">.</w:t>
      </w:r>
    </w:p>
    <w:bookmarkEnd w:id="125"/>
    <w:bookmarkStart w:id="127" w:name="ref-moore2025"/>
    <w:p>
      <w:pPr>
        <w:pStyle w:val="Bibliography"/>
      </w:pPr>
      <w:r>
        <w:t xml:space="preserve">Moore, J.W., Ulaski, M.E., Wilson, K.L., Martin, T.G., Kuiper, S.D., Peacock, S.J., Braun, D.C., Naman, S.M., Pitman, K.J., Reid, A.J., Rosenfeld, J.S., Sainsbury, N.C., Wilson, S.M., and Zdasiuk, B.J. 2025. A Safe Operating Space for Salmon Watersheds Under Rapid Climate Change. Fish and Fisheries: faf.70027. doi:</w:t>
      </w:r>
      <w:hyperlink r:id="rId126">
        <w:r>
          <w:rPr>
            <w:rStyle w:val="Hyperlink"/>
          </w:rPr>
          <w:t xml:space="preserve">10.1111/faf.70027</w:t>
        </w:r>
      </w:hyperlink>
      <w:r>
        <w:t xml:space="preserve">.</w:t>
      </w:r>
    </w:p>
    <w:bookmarkEnd w:id="127"/>
    <w:bookmarkStart w:id="129"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28">
        <w:r>
          <w:rPr>
            <w:rStyle w:val="Hyperlink"/>
          </w:rPr>
          <w:t xml:space="preserve">10.1139/cjfas-2017-0127</w:t>
        </w:r>
      </w:hyperlink>
      <w:r>
        <w:t xml:space="preserve">.</w:t>
      </w:r>
    </w:p>
    <w:bookmarkEnd w:id="129"/>
    <w:bookmarkStart w:id="131"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30">
        <w:r>
          <w:rPr>
            <w:rStyle w:val="Hyperlink"/>
          </w:rPr>
          <w:t xml:space="preserve">10.1139/facets-2020-0075</w:t>
        </w:r>
      </w:hyperlink>
      <w:r>
        <w:t xml:space="preserve">.</w:t>
      </w:r>
    </w:p>
    <w:bookmarkEnd w:id="131"/>
    <w:bookmarkStart w:id="133"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32">
        <w:r>
          <w:rPr>
            <w:rStyle w:val="Hyperlink"/>
          </w:rPr>
          <w:t xml:space="preserve">10.1111/cobi.14434</w:t>
        </w:r>
      </w:hyperlink>
      <w:r>
        <w:t xml:space="preserve">.</w:t>
      </w:r>
    </w:p>
    <w:bookmarkEnd w:id="133"/>
    <w:bookmarkStart w:id="135"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34">
        <w:r>
          <w:rPr>
            <w:rStyle w:val="Hyperlink"/>
          </w:rPr>
          <w:t xml:space="preserve">10.1111/j.1523-1739.2008.00937.x</w:t>
        </w:r>
      </w:hyperlink>
      <w:r>
        <w:t xml:space="preserve">.</w:t>
      </w:r>
    </w:p>
    <w:bookmarkEnd w:id="135"/>
    <w:bookmarkStart w:id="137"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36">
        <w:r>
          <w:rPr>
            <w:rStyle w:val="Hyperlink"/>
          </w:rPr>
          <w:t xml:space="preserve">10.1139/facets-2022-0095</w:t>
        </w:r>
      </w:hyperlink>
      <w:r>
        <w:t xml:space="preserve">.</w:t>
      </w:r>
    </w:p>
    <w:bookmarkEnd w:id="137"/>
    <w:bookmarkStart w:id="138"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38"/>
    <w:bookmarkStart w:id="140"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39">
        <w:r>
          <w:rPr>
            <w:rStyle w:val="Hyperlink"/>
          </w:rPr>
          <w:t xml:space="preserve">10.1139/facets-2020-0064</w:t>
        </w:r>
      </w:hyperlink>
      <w:r>
        <w:t xml:space="preserve">.</w:t>
      </w:r>
    </w:p>
    <w:bookmarkEnd w:id="140"/>
    <w:bookmarkStart w:id="142"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41">
        <w:r>
          <w:rPr>
            <w:rStyle w:val="Hyperlink"/>
          </w:rPr>
          <w:t xml:space="preserve">10.1139/facets-2024-0348</w:t>
        </w:r>
      </w:hyperlink>
      <w:r>
        <w:t xml:space="preserve">.</w:t>
      </w:r>
    </w:p>
    <w:bookmarkEnd w:id="142"/>
    <w:bookmarkEnd w:id="143"/>
    <w:bookmarkEnd w:id="144"/>
    <w:bookmarkStart w:id="145" w:name="supplementary-material"/>
    <w:p>
      <w:pPr>
        <w:pStyle w:val="Heading1"/>
      </w:pPr>
      <w:r>
        <w:t xml:space="preserve">Supplementary material</w:t>
      </w:r>
    </w:p>
    <w:p>
      <w:pPr>
        <w:pStyle w:val="Compact"/>
        <w:numPr>
          <w:ilvl w:val="0"/>
          <w:numId w:val="1005"/>
        </w:numPr>
      </w:pPr>
      <w:r>
        <w:rPr>
          <w:b/>
          <w:bCs/>
        </w:rPr>
        <w:t xml:space="preserve">Links or downloads for the LAPSE tool materials (app etc.)</w:t>
      </w:r>
    </w:p>
    <w:bookmarkEnd w:id="145"/>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hyperlink" Id="rId124"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3" Target="https://doi.org/10.1101/2024.12.01.626233" TargetMode="External" /><Relationship Type="http://schemas.openxmlformats.org/officeDocument/2006/relationships/hyperlink" Id="rId107" Target="https://doi.org/10.1111/1365-2664.14239" TargetMode="External" /><Relationship Type="http://schemas.openxmlformats.org/officeDocument/2006/relationships/hyperlink" Id="rId132" Target="https://doi.org/10.1111/cobi.14434" TargetMode="External" /><Relationship Type="http://schemas.openxmlformats.org/officeDocument/2006/relationships/hyperlink" Id="rId126" Target="https://doi.org/10.1111/faf.70027" TargetMode="External" /><Relationship Type="http://schemas.openxmlformats.org/officeDocument/2006/relationships/hyperlink" Id="rId134" Target="https://doi.org/10.1111/j.1523-1739.2008.00937.x" TargetMode="External" /><Relationship Type="http://schemas.openxmlformats.org/officeDocument/2006/relationships/hyperlink" Id="rId128" Target="https://doi.org/10.1139/cjfas-2017-0127" TargetMode="External" /><Relationship Type="http://schemas.openxmlformats.org/officeDocument/2006/relationships/hyperlink" Id="rId139" Target="https://doi.org/10.1139/facets-2020-0064" TargetMode="External" /><Relationship Type="http://schemas.openxmlformats.org/officeDocument/2006/relationships/hyperlink" Id="rId130" Target="https://doi.org/10.1139/facets-2020-0075" TargetMode="External" /><Relationship Type="http://schemas.openxmlformats.org/officeDocument/2006/relationships/hyperlink" Id="rId121" Target="https://doi.org/10.1139/facets-2020-0084" TargetMode="External" /><Relationship Type="http://schemas.openxmlformats.org/officeDocument/2006/relationships/hyperlink" Id="rId13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41" Target="https://doi.org/10.1139/facets-2024-0348" TargetMode="External" /><Relationship Type="http://schemas.openxmlformats.org/officeDocument/2006/relationships/hyperlink" Id="rId100" Target="https://doi.org/10.1139/facets-2025-0031" TargetMode="External" /><Relationship Type="http://schemas.openxmlformats.org/officeDocument/2006/relationships/hyperlink" Id="rId102" Target="https://doi.org/10.3233/EPL-2002-32_5_13" TargetMode="External" /><Relationship Type="http://schemas.openxmlformats.org/officeDocument/2006/relationships/hyperlink" Id="rId95" Target="https://doi.org/10.3390/su6096024" TargetMode="External" /><Relationship Type="http://schemas.openxmlformats.org/officeDocument/2006/relationships/hyperlink" Id="rId98" Target="https://doi.org/10.5751/ES-02784-140145" TargetMode="External" /><Relationship Type="http://schemas.openxmlformats.org/officeDocument/2006/relationships/hyperlink" Id="rId105" Target="https://www.canlii.org/"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124"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3" Target="https://doi.org/10.1101/2024.12.01.626233" TargetMode="External" /><Relationship Type="http://schemas.openxmlformats.org/officeDocument/2006/relationships/hyperlink" Id="rId107" Target="https://doi.org/10.1111/1365-2664.14239" TargetMode="External" /><Relationship Type="http://schemas.openxmlformats.org/officeDocument/2006/relationships/hyperlink" Id="rId132" Target="https://doi.org/10.1111/cobi.14434" TargetMode="External" /><Relationship Type="http://schemas.openxmlformats.org/officeDocument/2006/relationships/hyperlink" Id="rId126" Target="https://doi.org/10.1111/faf.70027" TargetMode="External" /><Relationship Type="http://schemas.openxmlformats.org/officeDocument/2006/relationships/hyperlink" Id="rId134" Target="https://doi.org/10.1111/j.1523-1739.2008.00937.x" TargetMode="External" /><Relationship Type="http://schemas.openxmlformats.org/officeDocument/2006/relationships/hyperlink" Id="rId128" Target="https://doi.org/10.1139/cjfas-2017-0127" TargetMode="External" /><Relationship Type="http://schemas.openxmlformats.org/officeDocument/2006/relationships/hyperlink" Id="rId139" Target="https://doi.org/10.1139/facets-2020-0064" TargetMode="External" /><Relationship Type="http://schemas.openxmlformats.org/officeDocument/2006/relationships/hyperlink" Id="rId130" Target="https://doi.org/10.1139/facets-2020-0075" TargetMode="External" /><Relationship Type="http://schemas.openxmlformats.org/officeDocument/2006/relationships/hyperlink" Id="rId121" Target="https://doi.org/10.1139/facets-2020-0084" TargetMode="External" /><Relationship Type="http://schemas.openxmlformats.org/officeDocument/2006/relationships/hyperlink" Id="rId13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41" Target="https://doi.org/10.1139/facets-2024-0348" TargetMode="External" /><Relationship Type="http://schemas.openxmlformats.org/officeDocument/2006/relationships/hyperlink" Id="rId100" Target="https://doi.org/10.1139/facets-2025-0031" TargetMode="External" /><Relationship Type="http://schemas.openxmlformats.org/officeDocument/2006/relationships/hyperlink" Id="rId102" Target="https://doi.org/10.3233/EPL-2002-32_5_13" TargetMode="External" /><Relationship Type="http://schemas.openxmlformats.org/officeDocument/2006/relationships/hyperlink" Id="rId95" Target="https://doi.org/10.3390/su6096024" TargetMode="External" /><Relationship Type="http://schemas.openxmlformats.org/officeDocument/2006/relationships/hyperlink" Id="rId98" Target="https://doi.org/10.5751/ES-02784-140145" TargetMode="External" /><Relationship Type="http://schemas.openxmlformats.org/officeDocument/2006/relationships/hyperlink" Id="rId105" Target="https://www.canlii.org/"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2026-01-05T18:02:30Z</dcterms:created>
  <dcterms:modified xsi:type="dcterms:W3CDTF">2026-01-05T18:02:30Z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2026-01-05</vt:lpwstr>
  </property>
  <property fmtid="{D5CDD505-2E9C-101B-9397-08002B2CF9AE}" pid="5" name="language">
    <vt:lpwstr/>
  </property>
  <property fmtid="{D5CDD505-2E9C-101B-9397-08002B2CF9AE}" pid="6" name="output">
    <vt:lpwstr/>
  </property>
</Properties>
</file>