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2025-12-17</w:t>
      </w:r>
    </w:p>
    <w:bookmarkStart w:id="20"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w:t>
      </w:r>
      <w:r>
        <w:t xml:space="preserve"> </w:t>
      </w:r>
      <w:r>
        <w:t xml:space="preserve">(Ray et al. 2021)</w:t>
      </w:r>
      <w:r>
        <w:t xml:space="preserve"> </w:t>
      </w:r>
      <w:r>
        <w:t xml:space="preserve">(Ray et al 2021; Campbell and Thomas 2002).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 (Becklumb 2013). The dual roles, from the adaption of British Common Law to the Canadian situation, can lead to confusion around management prerogatives (Thompson 1974) and jurisdictional authority is rarely the responsibility of one level of government (Campbell and Thomas 2002) or one department (Figures 1 and 2).</w:t>
      </w:r>
    </w:p>
    <w:p>
      <w:pPr>
        <w:pStyle w:val="BodyText"/>
      </w:pPr>
      <w:r>
        <w:t xml:space="preserve">!! Figure 1 &amp; 2</w:t>
      </w:r>
    </w:p>
    <w:p>
      <w:pPr>
        <w:pStyle w:val="BodyText"/>
      </w:pPr>
      <w:r>
        <w:t xml:space="preserve">The fragmented federal jurisdiction over natural resources has always been ambiguous and limited with 89% of resources located within provincial legislative authority (Ray et al 2021). Provinces have jurisdiction over most wildlife within their borders; however, the federal government has jurisdiction over wildlife on federal land (e.g. national parks), as well as, migratory birds and aquatic species including marine mammals and fish (Becklumb 2013, Kraus et al 2021). While salmon and salmon fisheries are regulated federally, water use and watercourse management and the corresponding aquatic habitat is managed by the provinces.</w:t>
      </w:r>
    </w:p>
    <w:p>
      <w:pPr>
        <w:pStyle w:val="BodyText"/>
      </w:pPr>
      <w:r>
        <w:t xml:space="preserve">Watercourse management is not, however, strictly provincial jurisdiction. The federal government regulates fisheries and navigable waters in oceans, lakes, rivers, and streams even within provincial boundaries (Becklumb 2013; Swerdfager and Olive 2023).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management. For example, the provincial Forest and Range Practices Act 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 (Becklumb 2013). Natural resource legislation and programs often operate on a sector-by-sector and individual resource basis where integrated stewardship relies on scale-appropriate planning and decision making (Ray et al 2021). Provinces generally decide when, or if, to regulate on matters of environmental concern (Campbell and Thomas 2002). British Columbia is even more decentralized than other provinces, especially in terms of species at risk legislation, because British Columbia’s relevant provisions are spread over the greatest number of statutes and regulations (Bogetti and Mason 2025).</w:t>
      </w:r>
    </w:p>
    <w:bookmarkEnd w:id="20"/>
    <w:bookmarkStart w:id="21" w:name="salmon-populations-at-risk"/>
    <w:p>
      <w:pPr>
        <w:pStyle w:val="Heading1"/>
      </w:pPr>
      <w:r>
        <w:t xml:space="preserve">Salmon populations at risk</w:t>
      </w:r>
    </w:p>
    <w:p>
      <w:pPr>
        <w:pStyle w:val="FirstParagraph"/>
      </w:pPr>
      <w:r>
        <w:t xml:space="preserve">Despite considerable financial investments in salmon conservation and habitat restoration programs, as well as, the revision of management frameworks (e.g. Canada’s Policy for Conservation of Wild Pacific Salmon), Pacific salmon populations continue to decline in British Columbia and the number of populations monitored continues to drop (Price et al 2017; Bisson et al 2009; Nelitz et al 2011). Price et al (2017) 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 (Price et al 2017). While difficult to pinpoint a single cause, the decline of salmon populations and habitat capacity is recognized as a consequence of human activity, especially the loss or degradation of freshwater habitat (Bisson et al 2009); however, industrial development and urbanization continues to grow unabated within watersheds.</w:t>
      </w:r>
    </w:p>
    <w:p>
      <w:pPr>
        <w:pStyle w:val="BodyText"/>
      </w:pPr>
      <w:r>
        <w:t xml:space="preserve">Federal departments differ in how they implement the same legislation. For example, during the Species At Risk Act listing process, Fisheries and Oceans Canada (DFO) conducts socio-economic analyses, whereas Environment and Climate Change Canada (ECCC) does not (Turcotte et al 2021). Canada’s Policy for Conservation of Wild Pacific Salmon (WSP) outlines a process for Pacific salmon stewardship using the precautionary principle and the scope of salmon diversity protection at the Conservation Unit (CU): genetically and (or) geographically distinct populations. These misaligned processes create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 List of Endangered Species (Order) for economic and political reasons (co-migrating with other stocks), denying the population larger legislative protections.</w:t>
      </w:r>
    </w:p>
    <w:bookmarkEnd w:id="21"/>
    <w:bookmarkStart w:id="22"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increases ambiguity regarding the ownership and regulation of space (Dallimer and Strange 2015).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resilient salmon populations relies on their ability to access a variety of watercourses with connectivity between habitats (Carlson and Baylis 2022) also including ephemeral habitats, which are important for fry and juvenile rearing (Dionne et al 2023).</w:t>
      </w:r>
    </w:p>
    <w:p>
      <w:pPr>
        <w:pStyle w:val="BodyText"/>
      </w:pPr>
      <w:r>
        <w:t xml:space="preserve">Nearly all salmon populations utilize watersheds with multiple ownerships, which creates inconsistent regulation and a patchwork of disconnected critical habitat (Bisson et al 2009).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 (Dionne et al 2023).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 (Collins and Sossin 2019), but may chronically fail to prevent environmental degradation (Bankes et al 2014).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 (Swerdfager and Olive 2023). This vagueness creates a large dependance on the executive to explain these implementation gaps (Bankes et al 2014), allowing for arbitrary and somewhat dysfunctional management styles lacking a broader overseer or responsible agency across the entire salmon life cycle.</w:t>
      </w:r>
    </w:p>
    <w:bookmarkEnd w:id="22"/>
    <w:bookmarkStart w:id="23"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This report outlines a framework and process to relate human activities that threaten Pacific salmon abundance, biology, and ecology to their regulatory statutes. The overall goal of this effort was to better understand the legislative context that governs Pacific salmon in British Columbia related to human activities across jurisdictions. To achieve this, the more specific objectives were to 1) create a process and tool to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23"/>
    <w:bookmarkStart w:id="24" w:name="Xdc8f2bc31f71866589eff63e7a083c6ae57eb8b"/>
    <w:p>
      <w:pPr>
        <w:pStyle w:val="Heading1"/>
      </w:pPr>
      <w:r>
        <w:t xml:space="preserve">Legislative context within the sheer volume and diversity of salmon legislation</w:t>
      </w:r>
    </w:p>
    <w:p>
      <w:pPr>
        <w:pStyle w:val="FirstParagraph"/>
      </w:pPr>
      <w:r>
        <w:t xml:space="preserve">We accumulated Canadian federal and British Columbian provincial legislation, specifically acts and regulations, according to their relevance to salmon and habitat management. Specific departmental policy frameworks and processes were not included throughout this exercise because these executive strategies are prone to changes in the political, administrative, and budgetary landscape. Indigenous legislation, Yukon Territorial legislation, municipal bylaws, and international conventions were not included explicitly. Although this other legislation is pivotal in the management of Pacific salmon, considering this regionally diverse administration was outside the scope of this legislative review in terms of feasibility and timelines.</w:t>
      </w:r>
    </w:p>
    <w:p>
      <w:pPr>
        <w:pStyle w:val="BodyText"/>
      </w:pPr>
      <w:r>
        <w:t xml:space="preserve">The Canadian Legal Information Institute website, CanLII, provides an excellent resource for searching federal and provincial legislation by keyword search. CanLii was used as a systematic process to collect relevant legislation in the following steps:</w:t>
      </w:r>
    </w:p>
    <w:p>
      <w:pPr>
        <w:numPr>
          <w:ilvl w:val="0"/>
          <w:numId w:val="1001"/>
        </w:numPr>
      </w:pPr>
      <w:r>
        <w:t xml:space="preserve">query Pacific salmon specific terms (salmon, chinook, sockeye, etc.),</w:t>
      </w:r>
    </w:p>
    <w:p>
      <w:pPr>
        <w:numPr>
          <w:ilvl w:val="0"/>
          <w:numId w:val="1001"/>
        </w:numPr>
      </w:pPr>
      <w:r>
        <w:t xml:space="preserve">extract other keywords from the salmon-specific legislation (word frequency analysis),</w:t>
      </w:r>
    </w:p>
    <w:p>
      <w:pPr>
        <w:numPr>
          <w:ilvl w:val="0"/>
          <w:numId w:val="1001"/>
        </w:numPr>
      </w:pPr>
      <w:r>
        <w:t xml:space="preserve">query new keywords and IUCN Threat keywords in CanLII to find adjacent legislation,</w:t>
      </w:r>
    </w:p>
    <w:p>
      <w:pPr>
        <w:numPr>
          <w:ilvl w:val="0"/>
          <w:numId w:val="1001"/>
        </w:numPr>
      </w:pPr>
      <w:r>
        <w:t xml:space="preserve">filter legislation regionally (excluding provinces other than BC), and</w:t>
      </w:r>
    </w:p>
    <w:p>
      <w:pPr>
        <w:numPr>
          <w:ilvl w:val="0"/>
          <w:numId w:val="1001"/>
        </w:numPr>
      </w:pPr>
      <w:r>
        <w:t xml:space="preserve">download HTML files for relevant legislation directly from government websites.</w:t>
      </w:r>
    </w:p>
    <w:p>
      <w:pPr>
        <w:pStyle w:val="FirstParagraph"/>
      </w:pPr>
      <w:r>
        <w:t xml:space="preserve">Through the CanLII website, the user may look up the keywords queried in each act and regulation chosen. This allows the user to quickly assess the context of the word in the legislation and determine if the section is relevant to Pacific salmon. The full list of legislation reviewed in this process is available in Appendix 1.</w:t>
      </w:r>
    </w:p>
    <w:bookmarkEnd w:id="24"/>
    <w:bookmarkStart w:id="25" w:name="legistics-parsing-legislation"/>
    <w:p>
      <w:pPr>
        <w:pStyle w:val="Heading1"/>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were derived from the Government of Canada’s</w:t>
      </w:r>
      <w:r>
        <w:t xml:space="preserve"> </w:t>
      </w:r>
      <w:r>
        <w:t xml:space="preserve">“</w:t>
      </w:r>
      <w:r>
        <w:t xml:space="preserve">Legistics Paragraphing</w:t>
      </w:r>
      <w:r>
        <w:t xml:space="preserve">”</w:t>
      </w:r>
      <w:r>
        <w:t xml:space="preserve"> </w:t>
      </w:r>
      <w:r>
        <w:t xml:space="preserve">(Department of Justice Canada 2022). For the purpose of this review, we used the individual clause (Figure 3) as the sample unit for assignment into management domains and other attributes.</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 3,</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BodyText"/>
      </w:pPr>
      <w:r>
        <w:t xml:space="preserve">The number of statutes per se is not generally indicative of overall quality or potential effectiveness of any legal framework (Ray et al 2021).</w:t>
      </w:r>
    </w:p>
    <w:bookmarkEnd w:id="25"/>
    <w:bookmarkStart w:id="26" w:name="keyword-development"/>
    <w:p>
      <w:pPr>
        <w:pStyle w:val="Heading1"/>
      </w:pPr>
      <w:r>
        <w:t xml:space="preserve">Keyword development</w:t>
      </w:r>
    </w:p>
    <w:p>
      <w:pPr>
        <w:pStyle w:val="FirstParagraph"/>
      </w:pPr>
      <w:r>
        <w:t xml:space="preserve">• The interpretation of legislation, finding a more objective way</w:t>
      </w:r>
    </w:p>
    <w:p>
      <w:pPr>
        <w:pStyle w:val="BodyText"/>
      </w:pPr>
      <w:r>
        <w:t xml:space="preserve">• Where do keywords come from? Unigrams, bigrams and trigrams</w:t>
      </w:r>
    </w:p>
    <w:p>
      <w:pPr>
        <w:pStyle w:val="BodyText"/>
      </w:pPr>
      <w:r>
        <w:t xml:space="preserve">• When to exclude keywords, an iterative process</w:t>
      </w:r>
    </w:p>
    <w:p>
      <w:pPr>
        <w:pStyle w:val="BodyText"/>
      </w:pPr>
      <w:r>
        <w:t xml:space="preserve">• Language and context, why some categories have more keywords</w:t>
      </w:r>
    </w:p>
    <w:p>
      <w:pPr>
        <w:pStyle w:val="BodyText"/>
      </w:pPr>
      <w:r>
        <w:t xml:space="preserve">• Why categories with more keywords match more clauses</w:t>
      </w:r>
    </w:p>
    <w:p>
      <w:pPr>
        <w:pStyle w:val="BodyText"/>
      </w:pPr>
      <w:r>
        <w:t xml:space="preserve">The management domain and IUCN threat matching process pivoted around an established list of keywords and phrases relevant to Pacific salmon management. Keywords act as a link between categorization and the legislative clauses. Keywords must be specific enough to match an IUCN threat, yet general enough to appear in the acts and regulations that span many decades of legislative language. The keywords originated from three sources: • IUCN - CMP Direct Threats Classification 4.0 examples and definitions • Word frequency analysis (unigrams, bigrams, and trigrams) of collected legislation •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w:t>
      </w:r>
    </w:p>
    <w:p>
      <w:pPr>
        <w:pStyle w:val="BodyText"/>
      </w:pPr>
      <w:r>
        <w:t xml:space="preserve">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 Researcher subjectivity can influence the process on two fronts: • Legislation collection • Keyword and keyphrase list development</w:t>
      </w:r>
    </w:p>
    <w:p>
      <w:pPr>
        <w:pStyle w:val="BodyText"/>
      </w:pPr>
      <w:r>
        <w:t xml:space="preserve">However, using keyword lists allows for the subjectivity to be acknowledged, and the keyword lists to be reported such that the process may be repeatable. The keyword list is shown in Appendix II.</w:t>
      </w:r>
    </w:p>
    <w:p>
      <w:pPr>
        <w:pStyle w:val="BodyText"/>
      </w:pPr>
      <w:r>
        <w:t xml:space="preserve">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 find more relevant bigram or trigram alternatives (, • remove keywords where sections are already matched with other, more applicable keywords, and • search for more specific word variations (plural, past tense, etc.)</w:t>
      </w:r>
    </w:p>
    <w:bookmarkEnd w:id="26"/>
    <w:bookmarkStart w:id="27" w:name="X06bc8cf00ca5baea230857c3fdd1788ec12acc8"/>
    <w:p>
      <w:pPr>
        <w:pStyle w:val="Heading1"/>
      </w:pPr>
      <w:r>
        <w:t xml:space="preserve">International Union for Conservation of Nature (IUCN) threat categories</w:t>
      </w:r>
    </w:p>
    <w:p>
      <w:pPr>
        <w:pStyle w:val="FirstParagraph"/>
      </w:pPr>
      <w:r>
        <w:t xml:space="preserve">• Salmon biology, why salmon management can be difficult (geography etc.). How human activities influence salmon habitat • Intro to IUCN threats. Why use. • IUCN threats are designed for biodiversity. Salmon are managed for diversity. IUCN threats are used in the COSEWIC RPA process • Examples</w:t>
      </w:r>
    </w:p>
    <w:p>
      <w:pPr>
        <w:pStyle w:val="BodyText"/>
      </w:pPr>
      <w:r>
        <w:t xml:space="preserve">Management decisions and activities related to salmon are often in response to identifiable threats to salmon health and population status. Human systems can be categorized as direct threats to biodiversity more specifically for conservation strategies (Salafsky et al 2024). The International Union for Conservation of Nature (IUCN) and Conservation Measures Partnership (CMP) has developed a hierarchical grouping of threats used globally by conservation practitioners. IUCN direct threat categories are widely used to assess threats as part of IUCN red list assessments, as well as, in status assessments for Pacific salmon populations conducted by the Committee for the Status of Endangered Wildlife in Canada (COSEWIC). For this study, the IUCN - CMP Direct Threats Classification 4.0 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Management domains were identified through this study as a clearer and more comprehensive alignment between regulatory administrative concern and conservation threat categories (Figure 1).</w:t>
      </w:r>
    </w:p>
    <w:p>
      <w:pPr>
        <w:pStyle w:val="BodyText"/>
      </w:pPr>
      <w:r>
        <w:t xml:space="preserve">IUCN Level 2 categories are more specific, and the categorization process matched to 25 categories (Figure 5) that parallel the management domain categories. Multiple IUCN threats comprise a management domain; however Water-Borne &amp; Other Effluent Pollution (9.1) matched with the highest number of sections (as in the management domains) followed by Fishing, Harvesting &amp; Controlling Aquatic Species (5.4). Eight IUCN threat categories make up the Water Use and Watercourse Modifications management domain, but Dams &amp; Water Management / Use (7.2) has the majority of matches.</w:t>
      </w:r>
    </w:p>
    <w:bookmarkEnd w:id="27"/>
    <w:bookmarkStart w:id="28" w:name="X41bdb39aace5af49d4bf81685cea35a70babccd"/>
    <w:p>
      <w:pPr>
        <w:pStyle w:val="Heading1"/>
      </w:pPr>
      <w:r>
        <w:t xml:space="preserve">Management domains and the LAPSE framework • Not all salmon management categories are threats. Need categories for other factors. • Management domains as an interface • The LAPSE process and tool.</w:t>
      </w:r>
    </w:p>
    <w:p>
      <w:pPr>
        <w:pStyle w:val="FirstParagraph"/>
      </w:pPr>
      <w:r>
        <w:t xml:space="preserve">Management domains represent a reframing of multi-jurisdictional issues by salmon management concern rather than specific agency. This tool can then be used by practitioners to view actual binding legislation when considering actions or proposals. Using the IUCN-CMP Direct Threats Classification 4.0, and other broader categories identified through this exercise process, the following management domains were identified:</w:t>
      </w:r>
    </w:p>
    <w:p>
      <w:pPr>
        <w:pStyle w:val="BodyText"/>
      </w:pPr>
      <w:r>
        <w:t xml:space="preserve">Regulatory language that can be matched to management domain and IUCN threat categories is not inherently specific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The scope was determined by the specificity of the language used in the section. The scope categories were defined as follows: • 1 – Salmon: refers to Pacific salmon specifically • 2 – Fish: refers to fish that include salmon • 3 – Habitat: refers to any habitat that includes salmon habitat • 4 – Governance: 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w:t>
      </w:r>
    </w:p>
    <w:p>
      <w:pPr>
        <w:pStyle w:val="BodyText"/>
      </w:pPr>
      <w:r>
        <w:t xml:space="preserve">Management domains were identified within all the collected statutes. Pollution was the management domain with the highest section count (Figure 4),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BodyText"/>
      </w:pPr>
      <w:r>
        <w:t xml:space="preserve">Scope categories were assigned to clauses and sections parallel to management domains and IUCN threat categories. Language specific to Pacific salmon management was found in far fewer sections than indirect, less specific language (Figure 6). Only 74 sections in 22 statutes mention Pacific salmon, while 2,607 sections in 165 statutes mention habitat aspects that impact salmon.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(1 - Salmon) at all, only the regulations made under the Fisheries Act use salmon-specific language.</w:t>
      </w:r>
    </w:p>
    <w:p>
      <w:pPr>
        <w:pStyle w:val="BodyText"/>
      </w:pPr>
      <w:r>
        <w:t xml:space="preserve">More federal legislation sections matched with salmon harvest categories than provincial, as shown in Figures 4 and 5 above. Pacific salmon-specific language (1 - Salmon scope) also matched more federal statutes, specifically, the British Columbia Sport Fishing Regulations, 1996; National Parks of Canada Fishing Regulations; and Pacific Fishery Regulations 1993 (Figure 7).</w:t>
      </w:r>
    </w:p>
    <w:bookmarkEnd w:id="28"/>
    <w:bookmarkStart w:id="29" w:name="legislative-factors-clause-types"/>
    <w:p>
      <w:pPr>
        <w:pStyle w:val="Heading1"/>
      </w:pPr>
      <w:r>
        <w:t xml:space="preserve">Legislative factors: clause types</w:t>
      </w:r>
    </w:p>
    <w:p>
      <w:pPr>
        <w:pStyle w:val="FirstParagraph"/>
      </w:pPr>
      <w:r>
        <w:t xml:space="preserve">• The keyword matching process allows for assessment of other categories as well • Can interrogate a measure of context to the clauses (ie. Prohibitions vs exemptions). • Useful for looking up licencing sections</w:t>
      </w:r>
    </w:p>
    <w:p>
      <w:pPr>
        <w:pStyle w:val="BodyText"/>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Clauses, in general, fit into groupings by their context and the nature of their intent. For this exercise, the categories and keywords were developed solely by the researchers through a subjective process; however, the keywords are listed in Appendix III allowing for the work to be transparent and repeatable.</w:t>
      </w:r>
    </w:p>
    <w:p>
      <w:pPr>
        <w:pStyle w:val="BodyText"/>
      </w:pPr>
      <w:r>
        <w:t xml:space="preserve">Clause Type Categories: • Administration, Application, &amp; Structure • Authorization &amp; Mandate • Designation • Instruction • Interpretation &amp; Purpose • Licence, Permitting, &amp; Exemptions • Prohibition, Restriction, or Limitation</w:t>
      </w:r>
    </w:p>
    <w:p>
      <w:pPr>
        <w:pStyle w:val="BodyText"/>
      </w:pPr>
      <w:r>
        <w:t xml:space="preserve">Independent of management domain and IUCN threat category matching, the clause types (contextual nature of clauses) were assessed by matching</w:t>
      </w:r>
      <w:r>
        <w:t xml:space="preserve"> </w:t>
      </w:r>
      <w:r>
        <w:t xml:space="preserve">“</w:t>
      </w:r>
      <w:r>
        <w:t xml:space="preserve">clause type keywords</w:t>
      </w:r>
      <w:r>
        <w:t xml:space="preserve">”</w:t>
      </w:r>
      <w:r>
        <w:t xml:space="preserve"> </w:t>
      </w:r>
      <w:r>
        <w:t xml:space="preserve">(Appendix III) to clauses. The tally below shows the clause, section, and statute count for the clause type categories for clauses that were also matched to management domain categories.</w:t>
      </w:r>
    </w:p>
    <w:bookmarkEnd w:id="29"/>
    <w:bookmarkStart w:id="30" w:name="X3d1f28ebf57a42a02e6321b912ef3127a66a1d5"/>
    <w:p>
      <w:pPr>
        <w:pStyle w:val="Heading1"/>
      </w:pPr>
      <w:r>
        <w:t xml:space="preserve">Recovery potential assessments (RPA) and threat ranking case studies</w:t>
      </w:r>
    </w:p>
    <w:p>
      <w:pPr>
        <w:pStyle w:val="FirstParagraph"/>
      </w:pPr>
      <w:r>
        <w:t xml:space="preserve">The Committee on the Status of Endangered Wildlife in Canada (COSEWIC) assesses the current status of aquatic species, including Pacific salmon stocks, as part of the Species at Risk Act (SARA) process (Arbeider et al 2020). Salmon populations are grouped into genetically and ecologically distinct Diagnostic Units (DU) for the purpose of assessment. When a DU is classified as Threatened, Endangered or Extirpated,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t xml:space="preserve">“</w:t>
      </w:r>
      <w:r>
        <w:t xml:space="preserve">Canada’s Policy for Conservation of Wild Pacific Salmon,</w:t>
      </w:r>
      <w:r>
        <w:t xml:space="preserve">”</w:t>
      </w:r>
      <w:r>
        <w:t xml:space="preserve"> </w:t>
      </w:r>
      <w:r>
        <w:t xml:space="preserve">or the Wild Salmon Policy (WSP), in 2005, which outlines managing salmon in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ed. 2005). Since CUs are the most current unit for managing salmon in British Columbia, we incorporated CUs in this effort.</w:t>
      </w:r>
    </w:p>
    <w:p>
      <w:pPr>
        <w:pStyle w:val="BodyText"/>
      </w:pPr>
      <w:r>
        <w:t xml:space="preserve">The following Conservation Units were included in this assessment:</w:t>
      </w:r>
    </w:p>
    <w:p>
      <w:pPr>
        <w:pStyle w:val="BodyText"/>
      </w:pPr>
      <w:r>
        <w:t xml:space="preserve">Twenty-seven Conservation Units (CU) were included in this exercise, having been assessed through the COSEWIC Recovery Potential Assessment (RPA) process. RPAs used the same IUCN threat categories for assessment ranked from low to extreme by CU. Figure 9 shows the aggregate of the rankings regardless of threat, but stacked by species. More CUs had IUCN threats ranked from negligible to low while a few CUs had extreme to high rankings, specifically for Chinook and lake type sockeye.</w:t>
      </w:r>
    </w:p>
    <w:p>
      <w:pPr>
        <w:pStyle w:val="BodyText"/>
      </w:pPr>
      <w:r>
        <w:t xml:space="preserve">The RPA process identified two IUCN threat categories as being extreme or extreme-high ranking. Geological Events (10.1) received an extreme ranking, and Dams &amp; Water Management / Use (7.2) received an extreme-high ranking (Figure 10). Appendices IV and V of this report use these categories as case studies to demonstrate how the use of the LAPSE tool framework can identify relevant legislation.</w:t>
      </w:r>
    </w:p>
    <w:p>
      <w:pPr>
        <w:pStyle w:val="BodyText"/>
      </w:pPr>
      <w:r>
        <w:t xml:space="preserve">IUCN 10.1 Geological events • Big bar slide • The most relevant legislation and why • A summary of clause types</w:t>
      </w:r>
    </w:p>
    <w:p>
      <w:pPr>
        <w:pStyle w:val="BodyText"/>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DFO 2022). This threat was assigned to one sockeye and three Chinook conservation units, all in the Fraser Interior area related to the</w:t>
      </w:r>
      <w:r>
        <w:t xml:space="preserve"> </w:t>
      </w:r>
      <w:r>
        <w:t xml:space="preserve">“</w:t>
      </w:r>
      <w:r>
        <w:t xml:space="preserve">ongoing effects from Big Bar landslide</w:t>
      </w:r>
      <w:r>
        <w:t xml:space="preserve">”</w:t>
      </w:r>
      <w:r>
        <w:t xml:space="preserve"> </w:t>
      </w:r>
      <w:r>
        <w:t xml:space="preserve">in 2018 (DFO 2020; DFO 2022): • Chinook: CK-10, MIDDLE FRASER RIVER_SP_1.3 • Chinook: CK-11, MIDDLE FRASER RIVER_SU_1.3 • Chinook: CK-12, UPPER FRASER RIVER_SP_1.3 • Sockeye: SEL-06-14, TAKLA/TREMBLEUR-EARLY STUART TIMING</w:t>
      </w:r>
    </w:p>
    <w:p>
      <w:pPr>
        <w:pStyle w:val="BodyText"/>
      </w:pPr>
      <w:r>
        <w:t xml:space="preserve">“</w:t>
      </w:r>
      <w:r>
        <w:t xml:space="preserve">Geological events</w:t>
      </w:r>
      <w:r>
        <w:t xml:space="preserve">”</w:t>
      </w:r>
      <w:r>
        <w:t xml:space="preserve"> </w:t>
      </w:r>
      <w:r>
        <w:t xml:space="preserve">is not a large category to be assigned to appropriate legislation (Figure 5). Aside from landscape-scale changes due to actions like forestry or mining, much of the nature of this category might not be viewed as human-caused or managed. Subsequently, this threat has a small proportion of keywords that match the relevant legislation: The Designation clause type category matched the largest proportion of clauses that also match Geological Events (Figure 14). This is largely due to the designation of avalanche and landslide areas. Instruction also had a large proportion of clause type matches due to the nature of forestry legislation and the prevalence of forestry actions to result in landslides. Prohibition, Restriction, or Limitation clause types matched the fewest clauses.</w:t>
      </w:r>
    </w:p>
    <w:p>
      <w:pPr>
        <w:pStyle w:val="BodyText"/>
      </w:pPr>
      <w:r>
        <w:t xml:space="preserve">IUCN 7.2 Dams &amp; Water Management / Use • Bessette creek and irrigation/groundwater • The most relevant legislation and why • A summary of clause types</w:t>
      </w:r>
    </w:p>
    <w:p>
      <w:pPr>
        <w:pStyle w:val="BodyText"/>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 Water extraction, including groundwater, for irrigation and domestic purposes is listed as the most significant concern (DFO 2020). This threat was assigned to one Chinook conservation unit in the Fraser</w:t>
      </w:r>
    </w:p>
    <w:p>
      <w:pPr>
        <w:pStyle w:val="BodyText"/>
      </w:pPr>
      <w:r>
        <w:t xml:space="preserve">Interior area: • Chinook: CK-16, SOUTH THOMPSON-BESSETTE CREEK_SU_1.2</w:t>
      </w:r>
      <w:r>
        <w:t xml:space="preserve"> </w:t>
      </w:r>
      <w:r>
        <w:t xml:space="preserve">“</w:t>
      </w:r>
      <w:r>
        <w:t xml:space="preserve">Dams and Water Management / Use</w:t>
      </w:r>
      <w:r>
        <w:t xml:space="preserve">”</w:t>
      </w:r>
      <w:r>
        <w:t xml:space="preserve"> </w:t>
      </w:r>
      <w:r>
        <w:t xml:space="preserve">is one of the largest categories matched with appropriate legislation (Figure 5).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(Figure 16) likely due to the large number of clause matches in total for that IUCN threat category. Interpretation &amp; Purpose matched the most clauses (includes Definition sections), while Administration, Application, &amp; Structure matched the fewest clauses followed by Prohibition, Restriction, or Limitation.</w:t>
      </w:r>
    </w:p>
    <w:bookmarkEnd w:id="30"/>
    <w:bookmarkStart w:id="31" w:name="co-occurrence-of-management-domains"/>
    <w:p>
      <w:pPr>
        <w:pStyle w:val="Heading1"/>
      </w:pPr>
      <w:r>
        <w:t xml:space="preserve">Co-occurrence of management domains</w:t>
      </w:r>
    </w:p>
    <w:p>
      <w:pPr>
        <w:pStyle w:val="FirstParagraph"/>
      </w:pPr>
      <w:r>
        <w:t xml:space="preserve">• Multiple keywords are assigned to one clause. Example: pollution and aquaculture • Analyzing co-occurrence can create insights for related threats.</w:t>
      </w:r>
    </w:p>
    <w:p>
      <w:pPr>
        <w:pStyle w:val="BodyText"/>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31"/>
    <w:bookmarkStart w:id="32" w:name="conclusions"/>
    <w:p>
      <w:pPr>
        <w:pStyle w:val="Heading1"/>
      </w:pPr>
      <w:r>
        <w:t xml:space="preserve">Conclusions</w:t>
      </w:r>
    </w:p>
    <w:p>
      <w:pPr>
        <w:pStyle w:val="FirstParagraph"/>
      </w:pPr>
      <w:r>
        <w:t xml:space="preserve">• The LAPSE framework can be a useful way for practitioners to query relevant legislation for salmon management topics. • Users can use keywords to search legislation already using CanLii, but using management domains and IUCN threats, we are able to link clauses to more specific salmon biological aspects • Not only does the process link legislation to specific salmon concerns, but this process is also linked to real-world salmon management through the WSP CU and RPA processes, which incorporates threat rankings by CU.</w:t>
      </w:r>
    </w:p>
    <w:p>
      <w:pPr>
        <w:pStyle w:val="BodyText"/>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 An extensive list of legislation (acts, regulations, sections, and paragraphs) relevant to a human activity or salmon management decisions • Assessment of the nature or context of the legislation (clause type) by management domain and threat • Assessment of the overlap and connectedness in management domains (co-occurrence) to better understand the relationship between salmon threats</w:t>
      </w:r>
    </w:p>
    <w:p>
      <w:pPr>
        <w:pStyle w:val="BodyText"/>
      </w:pPr>
      <w:r>
        <w:t xml:space="preserve">While this process and tool are relatively new and untested, further development could lead to a better integration of salmon management decisions and administrative responsibility.</w:t>
      </w:r>
    </w:p>
    <w:bookmarkEnd w:id="32"/>
    <w:bookmarkStart w:id="36" w:name="references"/>
    <w:p>
      <w:pPr>
        <w:pStyle w:val="Heading1"/>
      </w:pPr>
      <w:r>
        <w:t xml:space="preserve">References</w:t>
      </w:r>
    </w:p>
    <w:bookmarkStart w:id="35" w:name="refs"/>
    <w:bookmarkStart w:id="34"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33">
        <w:r>
          <w:rPr>
            <w:rStyle w:val="Hyperlink"/>
          </w:rPr>
          <w:t xml:space="preserve">10.1139/facets-2020-0075</w:t>
        </w:r>
      </w:hyperlink>
      <w:r>
        <w:t xml:space="preserve">.</w:t>
      </w:r>
    </w:p>
    <w:bookmarkEnd w:id="34"/>
    <w:bookmarkEnd w:id="35"/>
    <w:bookmarkEnd w:id="36"/>
    <w:bookmarkStart w:id="37" w:name="supplementary-material"/>
    <w:p>
      <w:pPr>
        <w:pStyle w:val="Heading1"/>
      </w:pPr>
      <w:r>
        <w:t xml:space="preserve">Supplementary material</w:t>
      </w:r>
    </w:p>
    <w:p>
      <w:pPr>
        <w:pStyle w:val="FirstParagraph"/>
      </w:pPr>
      <w:r>
        <w:t xml:space="preserve">*Links or downloads for the LAPSE tool materials (app etc.)</w:t>
      </w:r>
    </w:p>
    <w:bookmarkEnd w:id="37"/>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53AC9"/>
    <w:rsid w:val="00230370"/>
    <w:rsid w:val="00247F8D"/>
    <w:rsid w:val="003446D7"/>
    <w:rsid w:val="004C64ED"/>
    <w:rsid w:val="00777336"/>
    <w:rsid w:val="007B63FD"/>
    <w:rsid w:val="00816055"/>
    <w:rsid w:val="008D44C7"/>
    <w:rsid w:val="009812E8"/>
    <w:rsid w:val="009B05B7"/>
    <w:rsid w:val="00AE35B0"/>
    <w:rsid w:val="00B8296B"/>
    <w:rsid w:val="00B87D0F"/>
    <w:rsid w:val="00B95B90"/>
    <w:rsid w:val="00D409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40977"/>
    <w:rPr>
      <w:rFonts w:ascii="Times New Roman" w:hAnsi="Times New Roman"/>
    </w:rPr>
  </w:style>
  <w:style w:styleId="Heading1" w:type="paragraph">
    <w:name w:val="heading 1"/>
    <w:basedOn w:val="Normal"/>
    <w:next w:val="Normal"/>
    <w:link w:val="Heading1Char"/>
    <w:uiPriority w:val="9"/>
    <w:qFormat/>
    <w:rsid w:val="00B95B90"/>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unhideWhenUsed/>
    <w:qFormat/>
    <w:rsid w:val="00B95B90"/>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95B90"/>
    <w:rPr>
      <w:rFonts w:ascii="Times New Roman" w:cstheme="majorBidi"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rsid w:val="00B95B90"/>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B95B90"/>
    <w:pPr>
      <w:spacing w:after="80" w:line="240" w:lineRule="auto"/>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B95B90"/>
    <w:rPr>
      <w:rFonts w:ascii="Times New Roman" w:cstheme="majorBidi" w:eastAsiaTheme="majorEastAsia" w:hAnsi="Times New Roman"/>
      <w:spacing w:val="-10"/>
      <w:kern w:val="28"/>
      <w:sz w:val="56"/>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hyperlink" Id="rId33" Target="https://doi.org/10.1139/facets-2020-0075"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139/facets-2020-00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2025-12-17T21:49:49Z</dcterms:created>
  <dcterms:modified xsi:type="dcterms:W3CDTF">2025-12-17T21:49:49Z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2025-12-17</vt:lpwstr>
  </property>
  <property fmtid="{D5CDD505-2E9C-101B-9397-08002B2CF9AE}" pid="5" name="output">
    <vt:lpwstr/>
  </property>
</Properties>
</file>