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34.png" ContentType="image/png"/>
  <Override PartName="/word/media/rId74.png" ContentType="image/png"/>
  <Override PartName="/word/media/rId79.png" ContentType="image/png"/>
  <Override PartName="/word/media/rId85.png" ContentType="image/png"/>
  <Override PartName="/word/media/rId20.png" ContentType="image/png"/>
  <Override PartName="/word/media/rId24.png" ContentType="image/png"/>
  <Override PartName="/word/media/rId54.png" ContentType="image/png"/>
  <Override PartName="/word/media/rId59.png" ContentType="image/png"/>
  <Override PartName="/word/media/rId5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2026-01-13</w:t>
      </w:r>
    </w:p>
    <w:bookmarkStart w:id="32" w:name="introduction"/>
    <w:p>
      <w:pPr>
        <w:pStyle w:val="Heading1"/>
      </w:pPr>
      <w:r>
        <w:t xml:space="preserve">Introduction</w:t>
      </w:r>
    </w:p>
    <w:bookmarkStart w:id="28"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and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their geographically widespread, anadromous life cycle that spans international boundaries and freshwater and marine ecosystems. While salmon populations and salmon fisheries are regulated federally, water use and watercourse management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Administrative concerns specific to natural resource stewardship are also often split between ministries at the federal and provincial level, which can further decentralize responsibility. Figures</w:t>
      </w:r>
      <w:r>
        <w:t xml:space="preserve"> </w:t>
      </w:r>
      <w:r>
        <w:t xml:space="preserve">1</w:t>
      </w:r>
      <w:r>
        <w:t xml:space="preserve"> </w:t>
      </w:r>
      <w:r>
        <w:t xml:space="preserve">and</w:t>
      </w:r>
      <w:r>
        <w:t xml:space="preserve"> </w:t>
      </w:r>
      <w:r>
        <w:t xml:space="preserve">2</w:t>
      </w:r>
      <w:r>
        <w:t xml:space="preserve"> </w:t>
      </w:r>
      <w:r>
        <w:t xml:space="preserve">show a compilation of federal and provincial acts relevant to Pacific salmon management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w:t>
      </w:r>
      <w:r>
        <w:t xml:space="preserve">and the ministries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rPr>
          <w:i/>
          <w:iCs/>
        </w:rPr>
        <w:t xml:space="preserve"> </w:t>
      </w:r>
      <w:r>
        <w:rPr>
          <w:i/>
          <w:iCs/>
        </w:rP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tables, which are less prone to short-term changes.</w:t>
      </w:r>
    </w:p>
    <w:p>
      <w:pPr>
        <w:pStyle w:val="CaptionedFigure"/>
      </w:pPr>
      <w:r>
        <w:drawing>
          <wp:inline>
            <wp:extent cx="5943600" cy="5094514"/>
            <wp:effectExtent b="0" l="0" r="0" t="0"/>
            <wp:docPr descr="Figure 1: List of Canadian federal acts relevant to Pacific salmon and habitat governance with assigned ministries." title="" id="21" name="Picture"/>
            <a:graphic>
              <a:graphicData uri="http://schemas.openxmlformats.org/drawingml/2006/picture">
                <pic:pic>
                  <pic:nvPicPr>
                    <pic:cNvPr descr="LAPSE_primary_publication_files/figure-docx/fig-sankey-federal-1.png" id="22" name="Picture"/>
                    <pic:cNvPicPr>
                      <a:picLocks noChangeArrowheads="1" noChangeAspect="1"/>
                    </pic:cNvPicPr>
                  </pic:nvPicPr>
                  <pic:blipFill>
                    <a:blip r:embed="rId20"/>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23" w:name="fig:fig-sankey-federal"/>
      <w:bookmarkEnd w:id="23"/>
      <w:r>
        <w:t xml:space="preserve">Figure 1: List of Canadian federal acts relevant to Pacific salmon and habitat governance with assigned ministries.</w:t>
      </w:r>
    </w:p>
    <w:p>
      <w:pPr>
        <w:pStyle w:val="CaptionedFigure"/>
      </w:pPr>
      <w:r>
        <w:drawing>
          <wp:inline>
            <wp:extent cx="5943600" cy="5094514"/>
            <wp:effectExtent b="0" l="0" r="0" t="0"/>
            <wp:docPr descr="Figure 2: List of British Columbian provincial acts relevant to Pacific salmon and habitat governance with assigned ministries." title="" id="25" name="Picture"/>
            <a:graphic>
              <a:graphicData uri="http://schemas.openxmlformats.org/drawingml/2006/picture">
                <pic:pic>
                  <pic:nvPicPr>
                    <pic:cNvPr descr="LAPSE_primary_publication_files/figure-docx/fig-sankey-provincial-1.png" id="26" name="Picture"/>
                    <pic:cNvPicPr>
                      <a:picLocks noChangeArrowheads="1" noChangeAspect="1"/>
                    </pic:cNvPicPr>
                  </pic:nvPicPr>
                  <pic:blipFill>
                    <a:blip r:embed="rId2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27" w:name="fig:fig-sankey-provincial"/>
      <w:bookmarkEnd w:id="27"/>
      <w:r>
        <w:t xml:space="preserve">Figure 2: List of British Columbian provincial acts relevant to Pacific salmon and habitat governance with assigned ministries.</w:t>
      </w:r>
    </w:p>
    <w:p>
      <w:pPr>
        <w:pStyle w:val="BodyText"/>
      </w:pPr>
      <w:r>
        <w:t xml:space="preserve">Acts and regulations in British Columbia might be designed to address one broad category of human activity, but this activity can cover many aspects of salmon management. For example, the provincial</w:t>
      </w:r>
      <w:r>
        <w:t xml:space="preserve"> </w:t>
      </w:r>
      <w:r>
        <w:rPr>
          <w:i/>
          <w:iCs/>
        </w:rPr>
        <w:t xml:space="preserve">Forest and Range Practices Act</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 from road infrastructure</w:t>
      </w:r>
      <w:r>
        <w:t xml:space="preserve"> </w:t>
      </w:r>
      <w:r>
        <w:t xml:space="preserve">(Ulaski et al. 2025)</w:t>
      </w:r>
      <w:r>
        <w:t xml:space="preserve">, and the spread of invasive species. Projects that influence environmental factors can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8"/>
    <w:bookmarkStart w:id="29"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w:t>
      </w:r>
      <w:r>
        <w:t xml:space="preserve"> </w:t>
      </w:r>
      <w:r>
        <w:t xml:space="preserve">the</w:t>
      </w:r>
      <w:r>
        <w:t xml:space="preserve"> </w:t>
      </w:r>
      <w:r>
        <w:rPr>
          <w:i/>
          <w:iCs/>
        </w:rPr>
        <w:t xml:space="preserve">Pacific Salmon Strategy Initiative</w:t>
      </w:r>
      <w:r>
        <w:t xml:space="preserve">), Pacific salmon populations are generally declining across Canada, while the number of populations monitored continues to drop</w:t>
      </w:r>
      <w:r>
        <w:t xml:space="preserve"> </w:t>
      </w:r>
      <w:r>
        <w:t xml:space="preserve">(Price et al. 2017; Atkinson et al. 2024)</w:t>
      </w:r>
      <w:r>
        <w:t xml:space="preserve">.</w:t>
      </w:r>
    </w:p>
    <w:p>
      <w:pPr>
        <w:pStyle w:val="BodyText"/>
      </w:pPr>
      <w:r>
        <w:t xml:space="preserve">The causes of Pacific salmon population declines in Canada are varied and have been the subject of numerous studies and reviews over the last few decades (e.g. the</w:t>
      </w:r>
      <w:r>
        <w:t xml:space="preserve"> </w:t>
      </w:r>
      <w:r>
        <w:rPr>
          <w:b/>
          <w:bCs/>
        </w:rPr>
        <w:t xml:space="preserve">Cohen Commission 2010, Report of the Standing Committee On Fisheries and Oceans 2021</w:t>
      </w:r>
      <w:r>
        <w:t xml:space="preserve">,</w:t>
      </w:r>
      <w:r>
        <w:t xml:space="preserve">(Grant et al. 2019)</w:t>
      </w:r>
      <w:r>
        <w:t xml:space="preserve">).</w:t>
      </w:r>
    </w:p>
    <w:p>
      <w:pPr>
        <w:pStyle w:val="BodyText"/>
      </w:pPr>
      <w:r>
        <w:t xml:space="preserve">Decline in salmon populations are recognized as a consequence of human activity, including the loss or degradation of freshwater habitat</w:t>
      </w:r>
      <w:r>
        <w:t xml:space="preserve"> </w:t>
      </w:r>
      <w:r>
        <w:t xml:space="preserve">(Bisson et al. 2009)</w:t>
      </w:r>
      <w:r>
        <w:t xml:space="preserve">, unsustainable fisheries harvest, and climate change.</w:t>
      </w:r>
    </w:p>
    <w:p>
      <w:pPr>
        <w:pStyle w:val="Compact"/>
        <w:numPr>
          <w:ilvl w:val="0"/>
          <w:numId w:val="1001"/>
        </w:numPr>
      </w:pPr>
      <w:r>
        <w:rPr>
          <w:b/>
          <w:bCs/>
        </w:rPr>
        <w:t xml:space="preserve">Get references</w:t>
      </w:r>
    </w:p>
    <w:p>
      <w:pPr>
        <w:pStyle w:val="FirstParagraph"/>
      </w:pPr>
      <w:r>
        <w:t xml:space="preserve">Commercial fisheries harvests have been substantially curtailed in recent decades in response to wild-origin salmon abundance declines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rPr>
          <w:b/>
          <w:bCs/>
        </w:rPr>
        <w:t xml:space="preserve">Precautionary Approach</w:t>
      </w:r>
      <w:r>
        <w:t xml:space="preserve">.</w:t>
      </w:r>
    </w:p>
    <w:p>
      <w:pPr>
        <w:pStyle w:val="BodyText"/>
      </w:pPr>
      <w:r>
        <w:rPr>
          <w:b/>
          <w:bCs/>
        </w:rPr>
        <w:t xml:space="preserve">Fisheries, particularly commercial fisheries, are legislated under the distinct authority of the</w:t>
      </w:r>
      <w:r>
        <w:rPr>
          <w:b/>
          <w:bCs/>
        </w:rPr>
        <w:t xml:space="preserve"> </w:t>
      </w:r>
      <w:r>
        <w:rPr>
          <w:b/>
          <w:bCs/>
          <w:i/>
          <w:iCs/>
        </w:rPr>
        <w:t xml:space="preserve">Fisheries Act</w:t>
      </w:r>
      <w:r>
        <w:rPr>
          <w:b/>
          <w:bCs/>
        </w:rPr>
        <w:t xml:space="preserve"> </w:t>
      </w:r>
      <w:r>
        <w:rPr>
          <w:b/>
          <w:bCs/>
        </w:rPr>
        <w:t xml:space="preserve">where laws and regulations prescribe how, when, and where fisheries harvest may occur within Canadian waters (**need to cite this statement…).</w:t>
      </w:r>
    </w:p>
    <w:p>
      <w:pPr>
        <w:pStyle w:val="Compact"/>
        <w:numPr>
          <w:ilvl w:val="0"/>
          <w:numId w:val="1002"/>
        </w:numPr>
      </w:pPr>
      <w:r>
        <w:rPr>
          <w:b/>
          <w:bCs/>
        </w:rPr>
        <w:t xml:space="preserve">Is this really true… Fisheries of Pacific salmon…</w:t>
      </w:r>
      <w:r>
        <w:t xml:space="preserve"> </w:t>
      </w:r>
      <w:r>
        <w:t xml:space="preserve">Maybe quote the legislation on this. Quite a definitive statement.</w:t>
      </w:r>
    </w:p>
    <w:p>
      <w:pPr>
        <w:pStyle w:val="FirstParagraph"/>
      </w:pPr>
      <w:r>
        <w:rPr>
          <w:b/>
          <w:bCs/>
        </w:rPr>
        <w:t xml:space="preserve">There is no ambiguity in jurisdiction or responsibility, at least for fisheries intercepting Pacific salmon within Canada, therefore fisheries harvest impacts can be adjusted relatively easily in response to declines or changing abundances.</w:t>
      </w:r>
    </w:p>
    <w:p>
      <w:pPr>
        <w:pStyle w:val="BodyText"/>
      </w:pPr>
      <w:r>
        <w:t xml:space="preserve">Fisheries also result in direct mortality to salmon, therefore, impacts can be directly measured and managed using quantifiable targets, assuming adequate monitoring information is collected.</w:t>
      </w:r>
    </w:p>
    <w:p>
      <w:pPr>
        <w:pStyle w:val="BodyText"/>
      </w:pPr>
      <w:r>
        <w:t xml:space="preserve">By contrast, threats to salmon habitat require a much more coordinated and inter-jurisdictional approach to evaluate and address. Freshwater habitat, including water quantity (discharge and timing) and water quality (temperature and chemistry), are impacted by actions and conditions throughout the entire watershed. Local activities, such as forestry and urbanisation, act cumulatively and compound with climate changes to degrade salmon watersheds, threatening their ability to sustain salmon abundance and diversity</w:t>
      </w:r>
      <w:r>
        <w:t xml:space="preserve"> </w:t>
      </w:r>
      <w:r>
        <w:t xml:space="preserve">(Moore et al. 2025)</w:t>
      </w:r>
      <w:r>
        <w:t xml:space="preserve">. Impacts from activities are often indirect, requiring monitoring and long-term studies to identify with confidence</w:t>
      </w:r>
      <w:r>
        <w:t xml:space="preserve"> </w:t>
      </w:r>
      <w:r>
        <w:t xml:space="preserve">(Ulaski et al. 2025)</w:t>
      </w:r>
      <w:r>
        <w:t xml:space="preserve">. Regulation of threats to salmon freshwater habitat in British Columbia therefore requires the application of multiple acts and regulations across both federal and provincial jurisdiction, where the impacts from activities and the benefits of mitigation are uncertain and spread out over time and space.</w:t>
      </w:r>
    </w:p>
    <w:p>
      <w:pPr>
        <w:pStyle w:val="BodyText"/>
      </w:pPr>
      <w:r>
        <w:t xml:space="preserve">For example, regulation of forestry under the</w:t>
      </w:r>
      <w:r>
        <w:t xml:space="preserve"> </w:t>
      </w:r>
      <w:r>
        <w:rPr>
          <w:i/>
          <w:iCs/>
        </w:rPr>
        <w:t xml:space="preserve">Forestry Act</w:t>
      </w:r>
      <w:r>
        <w:t xml:space="preserve">, water licensing under the Water Sustainability Act, environmental assessment of a mine under the Environmental Assessment Act, regulation of activities that cause harm to salmon habitat under the</w:t>
      </w:r>
      <w:r>
        <w:t xml:space="preserve"> </w:t>
      </w:r>
      <w:r>
        <w:rPr>
          <w:i/>
          <w:iCs/>
        </w:rPr>
        <w:t xml:space="preserve">Fisheries Act</w:t>
      </w:r>
      <w:r>
        <w:t xml:space="preserve"> </w:t>
      </w:r>
      <w:r>
        <w:t xml:space="preserve">….</w:t>
      </w:r>
    </w:p>
    <w:p>
      <w:pPr>
        <w:pStyle w:val="Compact"/>
        <w:numPr>
          <w:ilvl w:val="0"/>
          <w:numId w:val="1003"/>
        </w:numPr>
      </w:pPr>
      <w:r>
        <w:rPr>
          <w:b/>
          <w:bCs/>
        </w:rPr>
        <w:t xml:space="preserve">MW - Minor suggestions. The FFHPP regulates</w:t>
      </w:r>
      <w:r>
        <w:rPr>
          <w:b/>
          <w:bCs/>
        </w:rPr>
        <w:t xml:space="preserve"> </w:t>
      </w:r>
      <w:r>
        <w:rPr>
          <w:b/>
          <w:bCs/>
        </w:rPr>
        <w:t xml:space="preserve">“</w:t>
      </w:r>
      <w:r>
        <w:rPr>
          <w:b/>
          <w:bCs/>
        </w:rPr>
        <w:t xml:space="preserve">Projects Near Water</w:t>
      </w:r>
      <w:r>
        <w:rPr>
          <w:b/>
          <w:bCs/>
        </w:rPr>
        <w:t xml:space="preserve">”</w:t>
      </w:r>
      <w:r>
        <w:rPr>
          <w:b/>
          <w:bCs/>
        </w:rPr>
        <w:t xml:space="preserve"> </w:t>
      </w:r>
      <w:r>
        <w:rPr>
          <w:b/>
          <w:bCs/>
        </w:rPr>
        <w:t xml:space="preserve">based on the prohibition against causing Harmful Alteration, Disruption or Destruction of fish habitat or Death of Fish. Fisheries Officers may work with FFHPP biologist in enforcement when someone contravenes the Fisheries Act. As you know, also under the fisheries Act, is the prohibition on deleterious substances regulated by Environment Canada.</w:t>
      </w:r>
    </w:p>
    <w:p>
      <w:pPr>
        <w:pStyle w:val="FirstParagraph"/>
      </w:pPr>
      <w:r>
        <w:t xml:space="preserve">Amidst this uncertainty and complexity, multiple assessment frameworks have been developed to evaluate risks arising from anthropogenic activities and limiting factors for the survival and recovery of Pacific salmon populations [</w:t>
      </w:r>
      <w:r>
        <w:t xml:space="preserve">Chalifour et al. (2022)</w:t>
      </w:r>
      <w:r>
        <w:t xml:space="preserve">;</w:t>
      </w:r>
      <w:r>
        <w:t xml:space="preserve"> </w:t>
      </w:r>
      <w:r>
        <w:t xml:space="preserve">Salafsky et al. (2008)</w:t>
      </w:r>
      <w:r>
        <w:t xml:space="preserve">;</w:t>
      </w:r>
      <w:r>
        <w:t xml:space="preserve"> </w:t>
      </w:r>
      <w:r>
        <w:rPr>
          <w:b/>
          <w:bCs/>
        </w:rPr>
        <w:t xml:space="preserve">RAMS citation?</w:t>
      </w:r>
      <w:r>
        <w:t xml:space="preserve">]. While varied in their approaches, these frameworks generally aim to be comprehensive in assessing the wide range of threats that may impact Pacific salmon across their life cycle to inform status assessments, recovery planning, and conservation strategies. One of the most widely used risk assessment frameworks for Pacific salmon is the</w:t>
      </w:r>
      <w:r>
        <w:t xml:space="preserve"> </w:t>
      </w:r>
      <w:r>
        <w:rPr>
          <w:i/>
          <w:iCs/>
        </w:rPr>
        <w:t xml:space="preserve">International Union for Conservation of Nature</w:t>
      </w:r>
      <w:r>
        <w:t xml:space="preserve"> </w:t>
      </w:r>
      <w:r>
        <w:t xml:space="preserve">(IUCN) 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COSEWIC status assessments</w:t>
      </w:r>
      <w:r>
        <w:t xml:space="preserve"> </w:t>
      </w:r>
      <w:r>
        <w:t xml:space="preserve">(Arbeider et al. 2020; Dionne 2023; Doutaz et al. 2023)</w:t>
      </w:r>
      <w:r>
        <w:t xml:space="preserve">.</w:t>
      </w:r>
    </w:p>
    <w:p>
      <w:pPr>
        <w:pStyle w:val="BodyText"/>
      </w:pPr>
      <w:r>
        <w:t xml:space="preserve">Assuming there is agreement upon the most important threats, risk assessments are intended to guide the development of recovery plans and mitigation actions with the ultimate aim of reversing declines and improving conservation status. A key challenge is identifying actions that are</w:t>
      </w:r>
      <w:r>
        <w:t xml:space="preserve"> </w:t>
      </w:r>
      <w:r>
        <w:rPr>
          <w:b/>
          <w:bCs/>
        </w:rPr>
        <w:t xml:space="preserve">impactful</w:t>
      </w:r>
      <w:r>
        <w:t xml:space="preserve"> </w:t>
      </w:r>
      <w:r>
        <w:rPr>
          <w:b/>
          <w:bCs/>
        </w:rPr>
        <w:t xml:space="preserve">(**is that a word?)</w:t>
      </w:r>
      <w:r>
        <w:t xml:space="preserve"> </w:t>
      </w:r>
      <w:r>
        <w:t xml:space="preserve">and feasible across the wide geographic range and diverse life history of Pacific salmon. In many cases, regulatory complexity, ambiguous responsibility, unclear conservation objectives across jurisdictions and dispersed authority become barriers to effective and timely action.</w:t>
      </w:r>
    </w:p>
    <w:p>
      <w:pPr>
        <w:pStyle w:val="Compact"/>
        <w:numPr>
          <w:ilvl w:val="0"/>
          <w:numId w:val="1004"/>
        </w:numPr>
      </w:pPr>
      <w:r>
        <w:rPr>
          <w:b/>
          <w:bCs/>
        </w:rPr>
        <w:t xml:space="preserve">MW - Option of adding</w:t>
      </w:r>
      <w:r>
        <w:rPr>
          <w:b/>
          <w:bCs/>
        </w:rPr>
        <w:t xml:space="preserve"> </w:t>
      </w:r>
      <w:r>
        <w:rPr>
          <w:b/>
          <w:bCs/>
        </w:rPr>
        <w:t xml:space="preserve">“</w:t>
      </w:r>
      <w:r>
        <w:rPr>
          <w:b/>
          <w:bCs/>
        </w:rPr>
        <w:t xml:space="preserve">unclear standards of management</w:t>
      </w:r>
      <w:r>
        <w:rPr>
          <w:b/>
          <w:bCs/>
        </w:rPr>
        <w:t xml:space="preserve">”</w:t>
      </w:r>
      <w:r>
        <w:rPr>
          <w:b/>
          <w:bCs/>
        </w:rPr>
        <w:t xml:space="preserve">, or similar, to the list? Unclear environmental or conservation objectives across jurisdictions maybe.</w:t>
      </w:r>
    </w:p>
    <w:bookmarkEnd w:id="29"/>
    <w:bookmarkStart w:id="31"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(e.g. the WSP,</w:t>
      </w:r>
      <w:r>
        <w:t xml:space="preserve"> </w:t>
      </w:r>
      <w:hyperlink r:id="rId30">
        <w:r>
          <w:rPr>
            <w:rStyle w:val="Hyperlink"/>
          </w:rPr>
          <w:t xml:space="preserve">the trilateral accord 2024</w:t>
        </w:r>
      </w:hyperlink>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w:t>
      </w:r>
    </w:p>
    <w:p>
      <w:pPr>
        <w:pStyle w:val="Compact"/>
        <w:numPr>
          <w:ilvl w:val="0"/>
          <w:numId w:val="1005"/>
        </w:numPr>
      </w:pPr>
      <w:r>
        <w:rPr>
          <w:b/>
          <w:bCs/>
        </w:rPr>
        <w:t xml:space="preserve">Add examples of rebuilding plans, OK Chinook, WCVI Chinook, Fish stock provision rebuilding plans (DG)</w:t>
      </w:r>
    </w:p>
    <w:p>
      <w:pPr>
        <w:pStyle w:val="FirstParagraph"/>
      </w:pPr>
      <w:r>
        <w:t xml:space="preserve">In this study, we seek to decode the complexity between salmon threats and environmental legislation by creating an interface between regulatory language and anthropogenic threat categories. We describe and apply the Legislation Applicable to Pacific Salmon and their Ecosystems (LAPSE) database, a repository of federal and provincial legislation and regulations that apply to Pacific salmon in British Columbia. Using a novel method for parsing and classifying legislative clauses, we develop keyword relationships between IUCN threats classifications and XXXX clauses from XX acts and XX regulations. By creating an extensive, open-source, and easily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31"/>
    <w:bookmarkEnd w:id="32"/>
    <w:bookmarkStart w:id="38" w:name="X06bc8cf00ca5baea230857c3fdd1788ec12acc8"/>
    <w:p>
      <w:pPr>
        <w:pStyle w:val="Heading1"/>
      </w:pPr>
      <w:r>
        <w:t xml:space="preserve">International Union for Conservation of Nature (IUCN) threat categories</w:t>
      </w:r>
    </w:p>
    <w:p>
      <w:pPr>
        <w:pStyle w:val="FirstParagraph"/>
      </w:pPr>
      <w:r>
        <w:t xml:space="preserve">Management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widely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w:t>
      </w:r>
      <w:r>
        <w:t xml:space="preserve"> </w:t>
      </w:r>
      <w:r>
        <w:rPr>
          <w:b/>
          <w:bCs/>
        </w:rPr>
        <w:t xml:space="preserve">Level 2 threat classification</w:t>
      </w:r>
      <w:r>
        <w:t xml:space="preserve"> </w:t>
      </w:r>
      <w:r>
        <w:t xml:space="preserve">was used as the finest resolution that could be applied consistently.</w:t>
      </w:r>
    </w:p>
    <w:p>
      <w:pPr>
        <w:pStyle w:val="Compact"/>
        <w:numPr>
          <w:ilvl w:val="0"/>
          <w:numId w:val="1006"/>
        </w:numPr>
      </w:pPr>
      <w:r>
        <w:rPr>
          <w:b/>
          <w:bCs/>
        </w:rPr>
        <w:t xml:space="preserve">DG - Not everyone will be familiar with the different threat levels in this framework. Before this sentence, a brief explanation of the threats hierarchy could help the unfamiliar reader. You could point the reader to the original publication of this framework (</w:t>
      </w:r>
      <w:hyperlink r:id="rId33">
        <w:r>
          <w:rPr>
            <w:rStyle w:val="Hyperlink"/>
            <w:b/>
            <w:bCs/>
          </w:rPr>
          <w:t xml:space="preserve">The Society for Conservation Biology</w:t>
        </w:r>
      </w:hyperlink>
      <w:r>
        <w:rPr>
          <w:b/>
          <w:bCs/>
        </w:rPr>
        <w:t xml:space="preserve">), and/or summarize some key information from this paper, such as,</w:t>
      </w:r>
      <w:r>
        <w:rPr>
          <w:b/>
          <w:bCs/>
        </w:rPr>
        <w:t xml:space="preserve"> </w:t>
      </w:r>
      <w:r>
        <w:rPr>
          <w:b/>
          <w:bCs/>
        </w:rPr>
        <w:t xml:space="preserve">“</w:t>
      </w:r>
      <w:r>
        <w:rPr>
          <w:b/>
          <w:bCs/>
        </w:rPr>
        <w:t xml:space="preserve">The threat classification hierarchically categorizes threats into three levels. Each level one category (e.g., Agriculture &amp; Aquaculture) is further subdivided into several level two categories (e.g., Annual &amp; Perennial Non-Timber Crops, Marine &amp; Freshwater Aquaculture), and are subsequently into numerous level three and four categories.</w:t>
      </w:r>
      <w:r>
        <w:rPr>
          <w:b/>
          <w:bCs/>
        </w:rPr>
        <w:t xml:space="preserve">”</w:t>
      </w:r>
      <w:r>
        <w:rPr>
          <w:b/>
          <w:bCs/>
        </w:rPr>
        <w:t xml:space="preserve"> </w:t>
      </w:r>
      <w:r>
        <w:rPr>
          <w:b/>
          <w:bCs/>
        </w:rPr>
        <w:t xml:space="preserve">Something like this could help the reader follow the sentence that explains why level two was chosen (consistent application).</w:t>
      </w:r>
    </w:p>
    <w:p>
      <w:pPr>
        <w:pStyle w:val="FirstParagraph"/>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3</w:t>
      </w:r>
      <w:r>
        <w:t xml:space="preserve">).</w:t>
      </w:r>
    </w:p>
    <w:p>
      <w:pPr>
        <w:pStyle w:val="CaptionedFigure"/>
      </w:pPr>
      <w:r>
        <w:drawing>
          <wp:inline>
            <wp:extent cx="5943600" cy="3343275"/>
            <wp:effectExtent b="0" l="0" r="0" t="0"/>
            <wp:docPr descr="Figure 3: Flowchart showing alignment of IUCN Level 2 threat categories with Management Domain in relation to legislation and jurisdiction." title="" id="35" name="Picture"/>
            <a:graphic>
              <a:graphicData uri="http://schemas.openxmlformats.org/drawingml/2006/picture">
                <pic:pic>
                  <pic:nvPicPr>
                    <pic:cNvPr descr="../assets/Management%20Domain%20Flowchart.png" id="36" name="Picture"/>
                    <pic:cNvPicPr>
                      <a:picLocks noChangeArrowheads="1" noChangeAspect="1"/>
                    </pic:cNvPicPr>
                  </pic:nvPicPr>
                  <pic:blipFill>
                    <a:blip r:embed="rId34"/>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37" w:name="fig:fig-flowchart-image"/>
      <w:bookmarkEnd w:id="37"/>
      <w:r>
        <w:t xml:space="preserve">Figure 3: Flowchart showing alignment of IUCN Level 2 threat categories with Management Domain in relation to legislation and jurisdiction.</w:t>
      </w:r>
    </w:p>
    <w:bookmarkEnd w:id="38"/>
    <w:bookmarkStart w:id="48"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40" w:name="legislation-accumulation-and-review"/>
    <w:p>
      <w:pPr>
        <w:pStyle w:val="Heading2"/>
      </w:pPr>
      <w:r>
        <w:t xml:space="preserve">Legislation accumulation and review</w:t>
      </w:r>
    </w:p>
    <w:p>
      <w:pPr>
        <w:pStyle w:val="FirstParagraph"/>
      </w:pPr>
      <w:r>
        <w:t xml:space="preserve">We accumulated Canadian federal and British Columbian provincial legislation according to their relevance to salmon and habitat management.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Compact"/>
        <w:numPr>
          <w:ilvl w:val="0"/>
          <w:numId w:val="1007"/>
        </w:numPr>
      </w:pPr>
      <w:r>
        <w:rPr>
          <w:b/>
          <w:bCs/>
        </w:rPr>
        <w:t xml:space="preserve">MW - That’s true, although many sections of the Water Sustainability Act aren’t built out and utilized.</w:t>
      </w:r>
    </w:p>
    <w:p>
      <w:pPr>
        <w:pStyle w:val="FirstParagraph"/>
      </w:pPr>
      <w:r>
        <w:t xml:space="preserve">Indigenous legislation, Yukon Territorial legislation, municipal bylaws, and international conventions were also not included explicitly. Although this other legislation is pivotal in the management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Compact"/>
        <w:numPr>
          <w:ilvl w:val="0"/>
          <w:numId w:val="1008"/>
        </w:numPr>
      </w:pPr>
      <w:r>
        <w:rPr>
          <w:b/>
          <w:bCs/>
        </w:rPr>
        <w:t xml:space="preserve">DG - Needs citation - citation(</w:t>
      </w:r>
      <w:r>
        <w:rPr>
          <w:b/>
          <w:bCs/>
        </w:rPr>
        <w:t xml:space="preserve">“</w:t>
      </w:r>
      <w:r>
        <w:rPr>
          <w:b/>
          <w:bCs/>
        </w:rPr>
        <w:t xml:space="preserve">packagename</w:t>
      </w:r>
      <w:r>
        <w:rPr>
          <w:b/>
          <w:bCs/>
        </w:rPr>
        <w:t xml:space="preserve">”</w:t>
      </w:r>
      <w:r>
        <w:rPr>
          <w:b/>
          <w:bCs/>
        </w:rPr>
        <w:t xml:space="preserve">) in R can get you this</w:t>
      </w:r>
    </w:p>
    <w:p>
      <w:pPr>
        <w:pStyle w:val="FirstParagraph"/>
      </w:pPr>
      <w:r>
        <w:t xml:space="preserve">Through the CanLII website, the user may look up the keywords queried in each statute chosen. This allows the user to quickly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9" w:name="tab:legislation-summary-table"/>
      <w:bookmarkEnd w:id="39"/>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p>
      <w:pPr>
        <w:pStyle w:val="BodyText"/>
      </w:pPr>
      <w:r>
        <w:br/>
      </w:r>
    </w:p>
    <w:bookmarkEnd w:id="40"/>
    <w:bookmarkStart w:id="45"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Compact"/>
        <w:numPr>
          <w:ilvl w:val="0"/>
          <w:numId w:val="1009"/>
        </w:numPr>
      </w:pPr>
      <w:r>
        <w:rPr>
          <w:b/>
          <w:bCs/>
        </w:rPr>
        <w:t xml:space="preserve">DG - Also needs a citation. Note to be consistent in the introduction of R package names. udpipe doesn’t have quotation marks, this one does. The formatting depends on the citation style, so it can be changed later, but a consistent starting point would be good.</w:t>
      </w:r>
    </w:p>
    <w:p>
      <w:pPr>
        <w:pStyle w:val="Compact"/>
        <w:numPr>
          <w:ilvl w:val="0"/>
          <w:numId w:val="1009"/>
        </w:numPr>
      </w:pPr>
      <w:r>
        <w:rPr>
          <w:b/>
          <w:bCs/>
        </w:rPr>
        <w:t xml:space="preserve">MW - Define the statute being the Fisheries Act into the figure or title? For some reason, the term statute is confusing me. I had to look up the definition to check if it included regulations or not. I wonder if it should be defined for readability earlier in the report or if people should just know this term.</w:t>
      </w:r>
    </w:p>
    <w:bookmarkEnd w:id="45"/>
    <w:bookmarkStart w:id="46"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management.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management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management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numPr>
          <w:ilvl w:val="0"/>
          <w:numId w:val="1010"/>
        </w:numPr>
      </w:pPr>
      <w:r>
        <w:rPr>
          <w:b/>
          <w:bCs/>
        </w:rPr>
        <w:t xml:space="preserve">DG - I think this example adequately gets across the idea that keywords may have multiple meanings and may be misaligned with threat categories. I’ve provided some edits for consideration that attempt to refine the context of the threat category definitions. Feel free to refine/reject my edits, and let me know if the ideas I’m attempting to introduce don’t make sense. Happy to discuss further.</w:t>
      </w:r>
    </w:p>
    <w:p>
      <w:pPr>
        <w:numPr>
          <w:ilvl w:val="0"/>
          <w:numId w:val="1010"/>
        </w:numPr>
      </w:pPr>
      <w:r>
        <w:rPr>
          <w:b/>
          <w:bCs/>
        </w:rPr>
        <w:t xml:space="preserve">DG</w:t>
      </w:r>
      <w:r>
        <w:t xml:space="preserve"> </w:t>
      </w:r>
      <w:r>
        <w:t xml:space="preserve">-</w:t>
      </w:r>
      <w:r>
        <w:t xml:space="preserve"> </w:t>
      </w:r>
      <w:r>
        <w:rPr>
          <w:b/>
          <w:bCs/>
        </w:rPr>
        <w:t xml:space="preserve">This is the first time that</w:t>
      </w:r>
      <w:r>
        <w:rPr>
          <w:b/>
          <w:bCs/>
        </w:rPr>
        <w:t xml:space="preserve"> </w:t>
      </w:r>
      <w:r>
        <w:rPr>
          <w:b/>
          <w:bCs/>
        </w:rPr>
        <w:t xml:space="preserve">“</w:t>
      </w:r>
      <w:r>
        <w:rPr>
          <w:b/>
          <w:bCs/>
        </w:rPr>
        <w:t xml:space="preserve">tool</w:t>
      </w:r>
      <w:r>
        <w:rPr>
          <w:b/>
          <w:bCs/>
        </w:rPr>
        <w:t xml:space="preserve">”</w:t>
      </w:r>
      <w:r>
        <w:rPr>
          <w:b/>
          <w:bCs/>
        </w:rPr>
        <w:t xml:space="preserve"> </w:t>
      </w:r>
      <w:r>
        <w:rPr>
          <w:b/>
          <w:bCs/>
        </w:rPr>
        <w:t xml:space="preserve">is used to describe the project. It may be helpful to introduce the concept of this project’s outcomes as a tool in an earlier part of the report, possibly in the section introducing the objectives.</w:t>
      </w:r>
    </w:p>
    <w:p>
      <w:pPr>
        <w:pStyle w:val="FirstParagraph"/>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management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11"/>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7"/>
    <w:bookmarkEnd w:id="48"/>
    <w:bookmarkStart w:id="69"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management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9" w:name="tab:management-domain-tally"/>
      <w:bookmarkEnd w:id="49"/>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4,004</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9,468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32,378</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w:t>
      </w:r>
      <w:r>
        <w:t xml:space="preserve"> </w:t>
      </w:r>
      <w:r>
        <w:rPr>
          <w:b/>
          <w:bCs/>
        </w:rPr>
        <w:t xml:space="preserve">**scientific?</w:t>
      </w:r>
      <w:r>
        <w:t xml:space="preserve"> </w:t>
      </w:r>
      <w:r>
        <w:t xml:space="preserve">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ompact"/>
        <w:numPr>
          <w:ilvl w:val="0"/>
          <w:numId w:val="1012"/>
        </w:numPr>
      </w:pPr>
      <w:r>
        <w:rPr>
          <w:b/>
          <w:bCs/>
        </w:rPr>
        <w:t xml:space="preserve">MW - The Management Domain of Human Disturbance is just research activities? This seems less intuitive for me than the other management domains since human disturbance could refer to most of them.</w:t>
      </w:r>
    </w:p>
    <w:p>
      <w:pPr>
        <w:pStyle w:val="CaptionedFigure"/>
      </w:pPr>
      <w:r>
        <w:drawing>
          <wp:inline>
            <wp:extent cx="5943600" cy="4457699"/>
            <wp:effectExtent b="0" l="0" r="0" t="0"/>
            <wp:docPr descr="Figure 5: Count of sections matched by management domain, stacked by jurisdiction." title="" id="51" name="Picture"/>
            <a:graphic>
              <a:graphicData uri="http://schemas.openxmlformats.org/drawingml/2006/picture">
                <pic:pic>
                  <pic:nvPicPr>
                    <pic:cNvPr descr="LAPSE_primary_publication_files/figure-docx/section-count-by-management-domain-1.png" id="52" name="Picture"/>
                    <pic:cNvPicPr>
                      <a:picLocks noChangeArrowheads="1" noChangeAspect="1"/>
                    </pic:cNvPicPr>
                  </pic:nvPicPr>
                  <pic:blipFill>
                    <a:blip r:embed="rId5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3" w:name="fig:section-count-by-management-domain"/>
      <w:bookmarkEnd w:id="53"/>
      <w:r>
        <w:t xml:space="preserve">Figure 5: Count of sections matched by management domain, stacked by jurisdiction.</w:t>
      </w:r>
    </w:p>
    <w:bookmarkStart w:id="58"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 threat category, separated by jurisdiction.</w:t>
      </w:r>
    </w:p>
    <w:bookmarkEnd w:id="58"/>
    <w:bookmarkStart w:id="68"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management than a clause that states that a minister shall include ecological integrity objectives in a park management plan. Both clauses influence salmon governance and management,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60" name="Picture"/>
            <a:graphic>
              <a:graphicData uri="http://schemas.openxmlformats.org/drawingml/2006/picture">
                <pic:pic>
                  <pic:nvPicPr>
                    <pic:cNvPr descr="LAPSE_primary_publication_files/figure-docx/multiscope-donut-1.png" id="61" name="Picture"/>
                    <pic:cNvPicPr>
                      <a:picLocks noChangeArrowheads="1" noChangeAspect="1"/>
                    </pic:cNvPicPr>
                  </pic:nvPicPr>
                  <pic:blipFill>
                    <a:blip r:embed="rId59"/>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2" w:name="fig:multiscope-donut"/>
      <w:bookmarkEnd w:id="62"/>
      <w:r>
        <w:t xml:space="preserve">Figure 7: Proportion of sections by management domain, displayed as concentric rings representing scope categories (inner to outer: 1 - Salmon, 2 - Fish, 3 - Habitat, 4 - Governance).</w:t>
      </w:r>
    </w:p>
    <w:p>
      <w:pPr>
        <w:pStyle w:val="Compact"/>
        <w:numPr>
          <w:ilvl w:val="0"/>
          <w:numId w:val="1013"/>
        </w:numPr>
      </w:pPr>
      <w:r>
        <w:rPr>
          <w:b/>
          <w:bCs/>
        </w:rPr>
        <w:t xml:space="preserve">DG - This is a super cool figure. I have a couple of questions about it. How was the order of the categories decided? Governance is the largest ring as #4, but it has the fewest management domains, so it could be more easily interpreted as a smaller ring compared to salmon, which relates to many categories but is the smallest ring at #1. I also find the colours difficult to distinguish. I assume this pattern was used because there are so many categories and a categorical colour scheme may be difficult with so many categories. I suggest devising an accessible colour scheme using an online tool for the maximum feasible number of categories, and then perhaps add linework/cross hatching to further distinguish the remaining categories. Currently, the gradient suggests in a way that there’s a relationship between proximal management domains, but it merely is arranged alphabetically.</w:t>
      </w:r>
    </w:p>
    <w:p>
      <w:pPr>
        <w:pStyle w:val="FirstParagraph"/>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3" w:name="tab:scope-tally"/>
      <w:bookmarkEnd w:id="63"/>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11,364</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7,718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30,839</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5" name="Picture"/>
            <a:graphic>
              <a:graphicData uri="http://schemas.openxmlformats.org/drawingml/2006/picture">
                <pic:pic>
                  <pic:nvPicPr>
                    <pic:cNvPr descr="LAPSE_primary_publication_files/figure-docx/section-count-salmon-scope-1.png" id="66" name="Picture"/>
                    <pic:cNvPicPr>
                      <a:picLocks noChangeArrowheads="1" noChangeAspect="1"/>
                    </pic:cNvPicPr>
                  </pic:nvPicPr>
                  <pic:blipFill>
                    <a:blip r:embed="rId6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7" w:name="fig:section-count-salmon-scope"/>
      <w:bookmarkEnd w:id="67"/>
      <w:r>
        <w:t xml:space="preserve">Figure 8: Count of sections by legislation for scope category</w:t>
      </w:r>
      <w:r>
        <w:t xml:space="preserve"> </w:t>
      </w:r>
      <w:r>
        <w:t xml:space="preserve">‘</w:t>
      </w:r>
      <w:r>
        <w:t xml:space="preserve">1 - Salmon</w:t>
      </w:r>
      <w:r>
        <w:t xml:space="preserve">’</w:t>
      </w:r>
      <w:r>
        <w:t xml:space="preserve">, coloured by jurisdiction.</w:t>
      </w:r>
    </w:p>
    <w:bookmarkEnd w:id="68"/>
    <w:bookmarkEnd w:id="69"/>
    <w:bookmarkStart w:id="71"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70" w:name="tab:clause-type-with-domain-tally"/>
      <w:bookmarkEnd w:id="70"/>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3,361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1,239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3,609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3,227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3,474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3,015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2,898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1,702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19,164</w:t>
            </w:r>
          </w:p>
        </w:tc>
      </w:tr>
    </w:tbl>
    <w:p>
      <w:pPr>
        <w:pStyle w:val="BodyText"/>
      </w:pPr>
      <w:r>
        <w:br/>
      </w:r>
    </w:p>
    <w:bookmarkEnd w:id="71"/>
    <w:bookmarkStart w:id="91"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14"/>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14"/>
        </w:numPr>
      </w:pPr>
      <w:r>
        <w:rPr>
          <w:b/>
          <w:bCs/>
        </w:rPr>
        <w:t xml:space="preserve">DG - Add this citation for this sentence</w:t>
      </w:r>
      <w:r>
        <w:rPr>
          <w:b/>
          <w:bCs/>
        </w:rPr>
        <w:t xml:space="preserve"> </w:t>
      </w:r>
      <w:hyperlink r:id="rId72">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15"/>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15"/>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73" w:name="tab:cu-species-cu-name-table"/>
      <w:bookmarkEnd w:id="73"/>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16"/>
        </w:numPr>
      </w:pPr>
      <w:r>
        <w:rPr>
          <w:b/>
          <w:bCs/>
        </w:rPr>
        <w:t xml:space="preserve">DG - I suggest adding a column that has the RPA citation that covers each group of DUs, since I don’t see the RPAs cited anywhere else.</w:t>
      </w:r>
    </w:p>
    <w:p>
      <w:pPr>
        <w:numPr>
          <w:ilvl w:val="0"/>
          <w:numId w:val="1016"/>
        </w:numPr>
      </w:pPr>
      <w:r>
        <w:rPr>
          <w:b/>
          <w:bCs/>
        </w:rPr>
        <w:t xml:space="preserve">DG - For consideration: mapping the CUs to their corresponding DUs in this table. The STREAM platform has a crosswalk for this.</w:t>
      </w:r>
    </w:p>
    <w:p>
      <w:pPr>
        <w:numPr>
          <w:ilvl w:val="0"/>
          <w:numId w:val="1016"/>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16"/>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17"/>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5" name="Picture"/>
            <a:graphic>
              <a:graphicData uri="http://schemas.openxmlformats.org/drawingml/2006/picture">
                <pic:pic>
                  <pic:nvPicPr>
                    <pic:cNvPr descr="LAPSE_primary_publication_files/figure-docx/c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cu-ranking-heatmap"/>
      <w:bookmarkEnd w:id="77"/>
      <w:r>
        <w:t xml:space="preserve">Figure 9: Conservation Unit count across IUCN threat categories and RPA threat rankings. Darker cells indicate more Conservation Units assessed at that threat level.</w:t>
      </w:r>
    </w:p>
    <w:p>
      <w:pPr>
        <w:numPr>
          <w:ilvl w:val="0"/>
          <w:numId w:val="1018"/>
        </w:numPr>
      </w:pPr>
      <w:r>
        <w:rPr>
          <w:b/>
          <w:bCs/>
        </w:rPr>
        <w:t xml:space="preserve">DG - It looks like the x-axis is organized alphabetically, causing some of the threats in categories 10 and 11 to be up at the top.</w:t>
      </w:r>
    </w:p>
    <w:p>
      <w:pPr>
        <w:numPr>
          <w:ilvl w:val="0"/>
          <w:numId w:val="1018"/>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83"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DFO (2022)</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DFO (2022)</w:t>
      </w:r>
      <w:r>
        <w:t xml:space="preserve">]:</w:t>
      </w:r>
    </w:p>
    <w:p>
      <w:pPr>
        <w:numPr>
          <w:ilvl w:val="0"/>
          <w:numId w:val="1019"/>
        </w:numPr>
      </w:pPr>
      <w:r>
        <w:rPr>
          <w:b/>
          <w:bCs/>
        </w:rPr>
        <w:t xml:space="preserve">DG - Suggest using IUCN-CMP throughout if that’s what we’re starting with.</w:t>
      </w:r>
    </w:p>
    <w:p>
      <w:pPr>
        <w:numPr>
          <w:ilvl w:val="0"/>
          <w:numId w:val="1019"/>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19"/>
        </w:numPr>
      </w:pPr>
      <w:r>
        <w:rPr>
          <w:b/>
          <w:bCs/>
        </w:rPr>
        <w:t xml:space="preserve">DG - I suggest just citing the RES Docs instead of the SARs</w:t>
      </w:r>
    </w:p>
    <w:p>
      <w:pPr>
        <w:numPr>
          <w:ilvl w:val="0"/>
          <w:numId w:val="1019"/>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8" w:name="tab:cu-extreme-threat-table"/>
      <w:bookmarkEnd w:id="78"/>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80" name="Picture"/>
            <a:graphic>
              <a:graphicData uri="http://schemas.openxmlformats.org/drawingml/2006/picture">
                <pic:pic>
                  <pic:nvPicPr>
                    <pic:cNvPr descr="LAPSE_primary_publication_files/figure-docx/fig-clause-type-geological-events-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2" w:name="fig:fig-clause-type-geological-events"/>
      <w:bookmarkEnd w:id="82"/>
      <w:r>
        <w:t xml:space="preserve">Figure 10: Section counts by clause type for IUCN threat category 10.1 Geological Events.</w:t>
      </w:r>
    </w:p>
    <w:p>
      <w:pPr>
        <w:numPr>
          <w:ilvl w:val="0"/>
          <w:numId w:val="1020"/>
        </w:numPr>
      </w:pPr>
      <w:r>
        <w:rPr>
          <w:b/>
          <w:bCs/>
        </w:rPr>
        <w:t xml:space="preserve">DG - Could be helpful to note the different values on the x-axis between this and the next figure</w:t>
      </w:r>
    </w:p>
    <w:p>
      <w:pPr>
        <w:numPr>
          <w:ilvl w:val="0"/>
          <w:numId w:val="1020"/>
        </w:numPr>
      </w:pPr>
      <w:r>
        <w:rPr>
          <w:b/>
          <w:bCs/>
        </w:rPr>
        <w:t xml:space="preserve">Add more description of Big Bar slide</w:t>
      </w:r>
    </w:p>
    <w:p>
      <w:pPr>
        <w:numPr>
          <w:ilvl w:val="0"/>
          <w:numId w:val="1020"/>
        </w:numPr>
      </w:pPr>
      <w:r>
        <w:rPr>
          <w:b/>
          <w:bCs/>
        </w:rPr>
        <w:t xml:space="preserve">Comment on the most relevant legislation and why</w:t>
      </w:r>
    </w:p>
    <w:bookmarkEnd w:id="83"/>
    <w:bookmarkStart w:id="90"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21"/>
        </w:numPr>
      </w:pPr>
      <w:r>
        <w:rPr>
          <w:b/>
          <w:bCs/>
        </w:rPr>
        <w:t xml:space="preserve">DG - And 7.3 Other ecosystem modifications</w:t>
      </w:r>
    </w:p>
    <w:p>
      <w:pPr>
        <w:numPr>
          <w:ilvl w:val="0"/>
          <w:numId w:val="1021"/>
        </w:numPr>
      </w:pPr>
      <w:r>
        <w:rPr>
          <w:b/>
          <w:bCs/>
        </w:rPr>
        <w:t xml:space="preserve">DG - Likewise, this DU spawns in the South Thompson River watershed, so there’s an opportunity to make this description a bit more precise if wanted.</w:t>
      </w:r>
    </w:p>
    <w:p>
      <w:pPr>
        <w:pStyle w:val="TableCaption"/>
      </w:pPr>
      <w:bookmarkStart w:id="84" w:name="tab:cu-extreme-high-threat-table"/>
      <w:bookmarkEnd w:id="84"/>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22"/>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6" name="Picture"/>
            <a:graphic>
              <a:graphicData uri="http://schemas.openxmlformats.org/drawingml/2006/picture">
                <pic:pic>
                  <pic:nvPicPr>
                    <pic:cNvPr descr="LAPSE_primary_publication_files/figure-docx/fig-clause-type-water-use-1.png" id="87" name="Picture"/>
                    <pic:cNvPicPr>
                      <a:picLocks noChangeArrowheads="1" noChangeAspect="1"/>
                    </pic:cNvPicPr>
                  </pic:nvPicPr>
                  <pic:blipFill>
                    <a:blip r:embed="rId85"/>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8" w:name="fig:fig-clause-type-water-use"/>
      <w:bookmarkEnd w:id="88"/>
      <w:r>
        <w:t xml:space="preserve">Figure 11: Section counts by clause type for IUCN threat category 7.2 Dams &amp; Water Management / Use.</w:t>
      </w:r>
    </w:p>
    <w:p>
      <w:pPr>
        <w:numPr>
          <w:ilvl w:val="0"/>
          <w:numId w:val="1023"/>
        </w:numPr>
      </w:pPr>
      <w:r>
        <w:rPr>
          <w:b/>
          <w:bCs/>
        </w:rPr>
        <w:t xml:space="preserve">add more description of Bessette Creek</w:t>
      </w:r>
    </w:p>
    <w:p>
      <w:pPr>
        <w:numPr>
          <w:ilvl w:val="0"/>
          <w:numId w:val="1023"/>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9">
        <w:r>
          <w:rPr>
            <w:rStyle w:val="Hyperlink"/>
            <w:b/>
            <w:bCs/>
          </w:rPr>
          <w:t xml:space="preserve">Aquatic Report Catalogue</w:t>
        </w:r>
      </w:hyperlink>
    </w:p>
    <w:p>
      <w:pPr>
        <w:numPr>
          <w:ilvl w:val="0"/>
          <w:numId w:val="1023"/>
        </w:numPr>
      </w:pPr>
      <w:r>
        <w:rPr>
          <w:b/>
          <w:bCs/>
        </w:rPr>
        <w:t xml:space="preserve">Comment on the most relevant legislation and why</w:t>
      </w:r>
    </w:p>
    <w:p>
      <w:pPr>
        <w:numPr>
          <w:ilvl w:val="0"/>
          <w:numId w:val="1023"/>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24"/>
        </w:numPr>
      </w:pPr>
      <w:r>
        <w:rPr>
          <w:b/>
          <w:bCs/>
        </w:rPr>
        <w:t xml:space="preserve">The decision maker must consider the environmental flow needs of the stream (as outlined in the EFN Policy).</w:t>
      </w:r>
    </w:p>
    <w:p>
      <w:pPr>
        <w:numPr>
          <w:ilvl w:val="1"/>
          <w:numId w:val="1024"/>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0"/>
    <w:bookmarkEnd w:id="91"/>
    <w:bookmarkStart w:id="92"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2"/>
    <w:bookmarkStart w:id="94"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management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3" w:name="conclusions"/>
    <w:p>
      <w:pPr>
        <w:pStyle w:val="Heading2"/>
      </w:pPr>
      <w:r>
        <w:t xml:space="preserve">Conclusions</w:t>
      </w:r>
    </w:p>
    <w:p>
      <w:pPr>
        <w:pStyle w:val="FirstParagraph"/>
      </w:pPr>
      <w:r>
        <w:t xml:space="preserve">Pacific salmon management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25"/>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management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management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management decisions and administrative responsibility.</w:t>
      </w:r>
    </w:p>
    <w:bookmarkEnd w:id="93"/>
    <w:bookmarkEnd w:id="94"/>
    <w:bookmarkStart w:id="150" w:name="references"/>
    <w:p>
      <w:pPr>
        <w:pStyle w:val="Heading1"/>
      </w:pPr>
      <w:r>
        <w:t xml:space="preserve">References</w:t>
      </w:r>
    </w:p>
    <w:bookmarkStart w:id="149" w:name="refs"/>
    <w:bookmarkStart w:id="95"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p>
    <w:bookmarkEnd w:id="95"/>
    <w:bookmarkStart w:id="97"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6">
        <w:r>
          <w:rPr>
            <w:rStyle w:val="Hyperlink"/>
          </w:rPr>
          <w:t xml:space="preserve">10.1101/2024.12.01.626233</w:t>
        </w:r>
      </w:hyperlink>
      <w:r>
        <w:t xml:space="preserve">.</w:t>
      </w:r>
    </w:p>
    <w:bookmarkEnd w:id="97"/>
    <w:bookmarkStart w:id="99"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8">
        <w:r>
          <w:rPr>
            <w:rStyle w:val="Hyperlink"/>
          </w:rPr>
          <w:t xml:space="preserve">10.3390/su6096024</w:t>
        </w:r>
      </w:hyperlink>
      <w:r>
        <w:t xml:space="preserve">.</w:t>
      </w:r>
    </w:p>
    <w:bookmarkEnd w:id="99"/>
    <w:bookmarkStart w:id="100"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0"/>
    <w:bookmarkStart w:id="102"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1">
        <w:r>
          <w:rPr>
            <w:rStyle w:val="Hyperlink"/>
          </w:rPr>
          <w:t xml:space="preserve">10.5751/ES-02784-140145</w:t>
        </w:r>
      </w:hyperlink>
      <w:r>
        <w:t xml:space="preserve">.</w:t>
      </w:r>
    </w:p>
    <w:bookmarkEnd w:id="102"/>
    <w:bookmarkStart w:id="104"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3">
        <w:r>
          <w:rPr>
            <w:rStyle w:val="Hyperlink"/>
          </w:rPr>
          <w:t xml:space="preserve">10.1139/facets-2025-0031</w:t>
        </w:r>
      </w:hyperlink>
      <w:r>
        <w:t xml:space="preserve">.</w:t>
      </w:r>
    </w:p>
    <w:bookmarkEnd w:id="104"/>
    <w:bookmarkStart w:id="106"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5">
        <w:r>
          <w:rPr>
            <w:rStyle w:val="Hyperlink"/>
          </w:rPr>
          <w:t xml:space="preserve">10.3233/EPL-2002-32_5_13</w:t>
        </w:r>
      </w:hyperlink>
      <w:r>
        <w:t xml:space="preserve">.</w:t>
      </w:r>
    </w:p>
    <w:bookmarkEnd w:id="106"/>
    <w:bookmarkStart w:id="108"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7">
        <w:r>
          <w:rPr>
            <w:rStyle w:val="Hyperlink"/>
          </w:rPr>
          <w:t xml:space="preserve">https://www.canlii.org/</w:t>
        </w:r>
      </w:hyperlink>
      <w:r>
        <w:t xml:space="preserve"> </w:t>
      </w:r>
      <w:r>
        <w:t xml:space="preserve">[accessed 18 December 2025].</w:t>
      </w:r>
    </w:p>
    <w:bookmarkEnd w:id="108"/>
    <w:bookmarkStart w:id="110"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9">
        <w:r>
          <w:rPr>
            <w:rStyle w:val="Hyperlink"/>
          </w:rPr>
          <w:t xml:space="preserve">10.1111/1365-2664.14239</w:t>
        </w:r>
      </w:hyperlink>
      <w:r>
        <w:t xml:space="preserve">.</w:t>
      </w:r>
    </w:p>
    <w:bookmarkEnd w:id="110"/>
    <w:bookmarkStart w:id="111"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1"/>
    <w:bookmarkStart w:id="113"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2">
        <w:r>
          <w:rPr>
            <w:rStyle w:val="Hyperlink"/>
          </w:rPr>
          <w:t xml:space="preserve">10.1016/j.tree.2014.12.004</w:t>
        </w:r>
      </w:hyperlink>
      <w:r>
        <w:t xml:space="preserve">.</w:t>
      </w:r>
    </w:p>
    <w:bookmarkEnd w:id="113"/>
    <w:bookmarkStart w:id="115"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4">
        <w:r>
          <w:rPr>
            <w:rStyle w:val="Hyperlink"/>
          </w:rPr>
          <w:t xml:space="preserve">10.1139/facets-2023-0204</w:t>
        </w:r>
      </w:hyperlink>
      <w:r>
        <w:t xml:space="preserve">.</w:t>
      </w:r>
    </w:p>
    <w:bookmarkEnd w:id="115"/>
    <w:bookmarkStart w:id="117"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6">
        <w:r>
          <w:rPr>
            <w:rStyle w:val="Hyperlink"/>
          </w:rPr>
          <w:t xml:space="preserve">https://www.justice.gc.ca/eng/rp-pr/csj-sjc/legis-redact/legistics/p3p1.html</w:t>
        </w:r>
      </w:hyperlink>
      <w:r>
        <w:t xml:space="preserve"> </w:t>
      </w:r>
      <w:r>
        <w:t xml:space="preserve">[accessed 18 December 2025].</w:t>
      </w:r>
    </w:p>
    <w:bookmarkEnd w:id="117"/>
    <w:bookmarkStart w:id="119"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18">
        <w:r>
          <w:rPr>
            <w:rStyle w:val="Hyperlink"/>
          </w:rPr>
          <w:t xml:space="preserve">https://laws-lois.justice.gc.ca/PDF/tops/eng/TOPS.pdf</w:t>
        </w:r>
      </w:hyperlink>
      <w:r>
        <w:t xml:space="preserve"> </w:t>
      </w:r>
      <w:r>
        <w:t xml:space="preserve">[accessed 13 January 2026].</w:t>
      </w:r>
    </w:p>
    <w:bookmarkEnd w:id="119"/>
    <w:bookmarkStart w:id="120" w:name="ref-dfo2022"/>
    <w:p>
      <w:pPr>
        <w:pStyle w:val="Bibliography"/>
      </w:pPr>
      <w:r>
        <w:t xml:space="preserve">DFO.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w:t>
      </w:r>
    </w:p>
    <w:bookmarkEnd w:id="120"/>
    <w:bookmarkStart w:id="121"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21"/>
    <w:bookmarkStart w:id="122"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22"/>
    <w:bookmarkStart w:id="124"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23">
        <w:r>
          <w:rPr>
            <w:rStyle w:val="Hyperlink"/>
          </w:rPr>
          <w:t xml:space="preserve">https://waves-vagues.dfo-mpo.gc.ca/library-bibliotheque/40807071.pdf</w:t>
        </w:r>
      </w:hyperlink>
      <w:r>
        <w:t xml:space="preserve">.</w:t>
      </w:r>
    </w:p>
    <w:bookmarkEnd w:id="124"/>
    <w:bookmarkStart w:id="126"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25">
        <w:r>
          <w:rPr>
            <w:rStyle w:val="Hyperlink"/>
          </w:rPr>
          <w:t xml:space="preserve">10.1139/facets-2020-0084</w:t>
        </w:r>
      </w:hyperlink>
      <w:r>
        <w:t xml:space="preserve">.</w:t>
      </w:r>
    </w:p>
    <w:bookmarkEnd w:id="126"/>
    <w:bookmarkStart w:id="127"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27"/>
    <w:bookmarkStart w:id="129"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28">
        <w:r>
          <w:rPr>
            <w:rStyle w:val="Hyperlink"/>
          </w:rPr>
          <w:t xml:space="preserve">10.1016/j.biocon.2013.07.006</w:t>
        </w:r>
      </w:hyperlink>
      <w:r>
        <w:t xml:space="preserve">.</w:t>
      </w:r>
    </w:p>
    <w:bookmarkEnd w:id="129"/>
    <w:bookmarkStart w:id="131"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30">
        <w:r>
          <w:rPr>
            <w:rStyle w:val="Hyperlink"/>
          </w:rPr>
          <w:t xml:space="preserve">10.1111/faf.70027</w:t>
        </w:r>
      </w:hyperlink>
      <w:r>
        <w:t xml:space="preserve">.</w:t>
      </w:r>
    </w:p>
    <w:bookmarkEnd w:id="131"/>
    <w:bookmarkStart w:id="133"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32">
        <w:r>
          <w:rPr>
            <w:rStyle w:val="Hyperlink"/>
          </w:rPr>
          <w:t xml:space="preserve">10.1139/cjfas-2017-0127</w:t>
        </w:r>
      </w:hyperlink>
      <w:r>
        <w:t xml:space="preserve">.</w:t>
      </w:r>
    </w:p>
    <w:bookmarkEnd w:id="133"/>
    <w:bookmarkStart w:id="135"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Available from</w:t>
      </w:r>
      <w:r>
        <w:t xml:space="preserve"> </w:t>
      </w:r>
      <w:hyperlink r:id="rId134">
        <w:r>
          <w:rPr>
            <w:rStyle w:val="Hyperlink"/>
          </w:rPr>
          <w:t xml:space="preserve">https://www.bclaws.gov.bc.ca/civix/content/amr/amr/2067365574/?xsl=/templates/browse.xsl</w:t>
        </w:r>
      </w:hyperlink>
      <w:r>
        <w:t xml:space="preserve">.</w:t>
      </w:r>
    </w:p>
    <w:bookmarkEnd w:id="135"/>
    <w:bookmarkStart w:id="137"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36">
        <w:r>
          <w:rPr>
            <w:rStyle w:val="Hyperlink"/>
          </w:rPr>
          <w:t xml:space="preserve">10.1139/facets-2020-0075</w:t>
        </w:r>
      </w:hyperlink>
      <w:r>
        <w:t xml:space="preserve">.</w:t>
      </w:r>
    </w:p>
    <w:bookmarkEnd w:id="137"/>
    <w:bookmarkStart w:id="139"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38">
        <w:r>
          <w:rPr>
            <w:rStyle w:val="Hyperlink"/>
          </w:rPr>
          <w:t xml:space="preserve">10.1111/cobi.14434</w:t>
        </w:r>
      </w:hyperlink>
      <w:r>
        <w:t xml:space="preserve">.</w:t>
      </w:r>
    </w:p>
    <w:bookmarkEnd w:id="139"/>
    <w:bookmarkStart w:id="141"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40">
        <w:r>
          <w:rPr>
            <w:rStyle w:val="Hyperlink"/>
          </w:rPr>
          <w:t xml:space="preserve">10.1111/j.1523-1739.2008.00937.x</w:t>
        </w:r>
      </w:hyperlink>
      <w:r>
        <w:t xml:space="preserve">.</w:t>
      </w:r>
    </w:p>
    <w:bookmarkEnd w:id="141"/>
    <w:bookmarkStart w:id="143"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42">
        <w:r>
          <w:rPr>
            <w:rStyle w:val="Hyperlink"/>
          </w:rPr>
          <w:t xml:space="preserve">10.1139/facets-2022-0095</w:t>
        </w:r>
      </w:hyperlink>
      <w:r>
        <w:t xml:space="preserve">.</w:t>
      </w:r>
    </w:p>
    <w:bookmarkEnd w:id="143"/>
    <w:bookmarkStart w:id="144"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w:t>
      </w:r>
    </w:p>
    <w:bookmarkEnd w:id="144"/>
    <w:bookmarkStart w:id="146"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45">
        <w:r>
          <w:rPr>
            <w:rStyle w:val="Hyperlink"/>
          </w:rPr>
          <w:t xml:space="preserve">10.1139/facets-2020-0064</w:t>
        </w:r>
      </w:hyperlink>
      <w:r>
        <w:t xml:space="preserve">.</w:t>
      </w:r>
    </w:p>
    <w:bookmarkEnd w:id="146"/>
    <w:bookmarkStart w:id="148"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47">
        <w:r>
          <w:rPr>
            <w:rStyle w:val="Hyperlink"/>
          </w:rPr>
          <w:t xml:space="preserve">10.1139/facets-2024-0348</w:t>
        </w:r>
      </w:hyperlink>
      <w:r>
        <w:t xml:space="preserve">.</w:t>
      </w:r>
    </w:p>
    <w:bookmarkEnd w:id="148"/>
    <w:bookmarkEnd w:id="149"/>
    <w:bookmarkEnd w:id="150"/>
    <w:bookmarkStart w:id="151" w:name="supplementary-material"/>
    <w:p>
      <w:pPr>
        <w:pStyle w:val="Heading1"/>
      </w:pPr>
      <w:r>
        <w:t xml:space="preserve">Supplementary material</w:t>
      </w:r>
    </w:p>
    <w:p>
      <w:pPr>
        <w:pStyle w:val="Compact"/>
        <w:numPr>
          <w:ilvl w:val="0"/>
          <w:numId w:val="1026"/>
        </w:numPr>
      </w:pPr>
      <w:r>
        <w:rPr>
          <w:b/>
          <w:bCs/>
        </w:rPr>
        <w:t xml:space="preserve">Links or downloads for the LAPSE tool materials (app etc.)</w:t>
      </w:r>
    </w:p>
    <w:bookmarkEnd w:id="151"/>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34" Target="media/rId34.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hyperlink" Id="rId89" Target="https://a100.gov.bc.ca/pub/acat/public/viewReport.do?reportId=59109" TargetMode="External" /><Relationship Type="http://schemas.openxmlformats.org/officeDocument/2006/relationships/hyperlink" Id="rId33"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28" Target="https://doi.org/10.1016/j.biocon.2013.07.006" TargetMode="External" /><Relationship Type="http://schemas.openxmlformats.org/officeDocument/2006/relationships/hyperlink" Id="rId112"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38" Target="https://doi.org/10.1111/cobi.14434" TargetMode="External" /><Relationship Type="http://schemas.openxmlformats.org/officeDocument/2006/relationships/hyperlink" Id="rId130" Target="https://doi.org/10.1111/faf.70027" TargetMode="External" /><Relationship Type="http://schemas.openxmlformats.org/officeDocument/2006/relationships/hyperlink" Id="rId140" Target="https://doi.org/10.1111/j.1523-1739.2008.00937.x" TargetMode="External" /><Relationship Type="http://schemas.openxmlformats.org/officeDocument/2006/relationships/hyperlink" Id="rId132" Target="https://doi.org/10.1139/cjfas-2017-0127" TargetMode="External" /><Relationship Type="http://schemas.openxmlformats.org/officeDocument/2006/relationships/hyperlink" Id="rId145" Target="https://doi.org/10.1139/facets-2020-0064" TargetMode="External" /><Relationship Type="http://schemas.openxmlformats.org/officeDocument/2006/relationships/hyperlink" Id="rId136" Target="https://doi.org/10.1139/facets-2020-0075" TargetMode="External" /><Relationship Type="http://schemas.openxmlformats.org/officeDocument/2006/relationships/hyperlink" Id="rId125" Target="https://doi.org/10.1139/facets-2020-0084" TargetMode="External" /><Relationship Type="http://schemas.openxmlformats.org/officeDocument/2006/relationships/hyperlink" Id="rId142" Target="https://doi.org/10.1139/facets-2022-0095" TargetMode="External" /><Relationship Type="http://schemas.openxmlformats.org/officeDocument/2006/relationships/hyperlink" Id="rId114" Target="https://doi.org/10.1139/facets-2023-0204" TargetMode="External" /><Relationship Type="http://schemas.openxmlformats.org/officeDocument/2006/relationships/hyperlink" Id="rId147"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18" Target="https://laws-lois.justice.gc.ca/PDF/tops/eng/TOPS.pdf" TargetMode="External" /><Relationship Type="http://schemas.openxmlformats.org/officeDocument/2006/relationships/hyperlink" Id="rId123" Target="https://waves-vagues.dfo-mpo.gc.ca/library-bibliotheque/40807071.pdf" TargetMode="External" /><Relationship Type="http://schemas.openxmlformats.org/officeDocument/2006/relationships/hyperlink" Id="rId134" Target="https://www.bclaws.gov.bc.ca/civix/content/amr/amr/2067365574/?xsl=/templates/browse.xsl" TargetMode="External" /><Relationship Type="http://schemas.openxmlformats.org/officeDocument/2006/relationships/hyperlink" Id="rId107" Target="https://www.canlii.org/" TargetMode="External" /><Relationship Type="http://schemas.openxmlformats.org/officeDocument/2006/relationships/hyperlink" Id="rId116" Target="https://www.justice.gc.ca/eng/rp-pr/csj-sjc/legis-redact/legistics/p3p1.html" TargetMode="External" /><Relationship Type="http://schemas.openxmlformats.org/officeDocument/2006/relationships/hyperlink" Id="rId30" Target="https://www.pac.dfo-mpo.gc.ca/fm-gp/salmon-saumon/docs/trilat-agreement-accord/index-eng.html" TargetMode="External" /></Relationships>
</file>

<file path=word/_rels/footnotes.xml.rels><?xml version="1.0" encoding="UTF-8"?><Relationships xmlns="http://schemas.openxmlformats.org/package/2006/relationships"><Relationship Type="http://schemas.openxmlformats.org/officeDocument/2006/relationships/hyperlink" Id="rId89" Target="https://a100.gov.bc.ca/pub/acat/public/viewReport.do?reportId=59109" TargetMode="External" /><Relationship Type="http://schemas.openxmlformats.org/officeDocument/2006/relationships/hyperlink" Id="rId33"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28" Target="https://doi.org/10.1016/j.biocon.2013.07.006" TargetMode="External" /><Relationship Type="http://schemas.openxmlformats.org/officeDocument/2006/relationships/hyperlink" Id="rId112"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38" Target="https://doi.org/10.1111/cobi.14434" TargetMode="External" /><Relationship Type="http://schemas.openxmlformats.org/officeDocument/2006/relationships/hyperlink" Id="rId130" Target="https://doi.org/10.1111/faf.70027" TargetMode="External" /><Relationship Type="http://schemas.openxmlformats.org/officeDocument/2006/relationships/hyperlink" Id="rId140" Target="https://doi.org/10.1111/j.1523-1739.2008.00937.x" TargetMode="External" /><Relationship Type="http://schemas.openxmlformats.org/officeDocument/2006/relationships/hyperlink" Id="rId132" Target="https://doi.org/10.1139/cjfas-2017-0127" TargetMode="External" /><Relationship Type="http://schemas.openxmlformats.org/officeDocument/2006/relationships/hyperlink" Id="rId145" Target="https://doi.org/10.1139/facets-2020-0064" TargetMode="External" /><Relationship Type="http://schemas.openxmlformats.org/officeDocument/2006/relationships/hyperlink" Id="rId136" Target="https://doi.org/10.1139/facets-2020-0075" TargetMode="External" /><Relationship Type="http://schemas.openxmlformats.org/officeDocument/2006/relationships/hyperlink" Id="rId125" Target="https://doi.org/10.1139/facets-2020-0084" TargetMode="External" /><Relationship Type="http://schemas.openxmlformats.org/officeDocument/2006/relationships/hyperlink" Id="rId142" Target="https://doi.org/10.1139/facets-2022-0095" TargetMode="External" /><Relationship Type="http://schemas.openxmlformats.org/officeDocument/2006/relationships/hyperlink" Id="rId114" Target="https://doi.org/10.1139/facets-2023-0204" TargetMode="External" /><Relationship Type="http://schemas.openxmlformats.org/officeDocument/2006/relationships/hyperlink" Id="rId147"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18" Target="https://laws-lois.justice.gc.ca/PDF/tops/eng/TOPS.pdf" TargetMode="External" /><Relationship Type="http://schemas.openxmlformats.org/officeDocument/2006/relationships/hyperlink" Id="rId123" Target="https://waves-vagues.dfo-mpo.gc.ca/library-bibliotheque/40807071.pdf" TargetMode="External" /><Relationship Type="http://schemas.openxmlformats.org/officeDocument/2006/relationships/hyperlink" Id="rId134" Target="https://www.bclaws.gov.bc.ca/civix/content/amr/amr/2067365574/?xsl=/templates/browse.xsl" TargetMode="External" /><Relationship Type="http://schemas.openxmlformats.org/officeDocument/2006/relationships/hyperlink" Id="rId107" Target="https://www.canlii.org/" TargetMode="External" /><Relationship Type="http://schemas.openxmlformats.org/officeDocument/2006/relationships/hyperlink" Id="rId116" Target="https://www.justice.gc.ca/eng/rp-pr/csj-sjc/legis-redact/legistics/p3p1.html" TargetMode="External" /><Relationship Type="http://schemas.openxmlformats.org/officeDocument/2006/relationships/hyperlink" Id="rId30" Target="https://www.pac.dfo-mpo.gc.ca/fm-gp/salmon-saumon/docs/trilat-agreement-accord/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2026-01-13T19:55:54Z</dcterms:created>
  <dcterms:modified xsi:type="dcterms:W3CDTF">2026-01-13T19:55:54Z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2026-01-13</vt:lpwstr>
  </property>
  <property fmtid="{D5CDD505-2E9C-101B-9397-08002B2CF9AE}" pid="5" name="language">
    <vt:lpwstr/>
  </property>
  <property fmtid="{D5CDD505-2E9C-101B-9397-08002B2CF9AE}" pid="6" name="output">
    <vt:lpwstr/>
  </property>
</Properties>
</file>